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8B" w:rsidRPr="0004168B" w:rsidRDefault="0004168B" w:rsidP="0004168B">
      <w:pPr>
        <w:spacing w:after="0" w:line="240" w:lineRule="auto"/>
        <w:rPr>
          <w:rFonts w:ascii="Arial" w:eastAsia="Times New Roman" w:hAnsi="Arial" w:cs="Arial"/>
          <w:b/>
          <w:kern w:val="0"/>
          <w:sz w:val="20"/>
          <w:szCs w:val="20"/>
        </w:rPr>
      </w:pPr>
      <w:r w:rsidRPr="0004168B">
        <w:rPr>
          <w:rFonts w:ascii="Arial" w:eastAsia="Times New Roman" w:hAnsi="Arial" w:cs="Times New Roman"/>
          <w:kern w:val="0"/>
          <w:sz w:val="24"/>
          <w:szCs w:val="20"/>
        </w:rPr>
        <w:object w:dxaOrig="1560" w:dyaOrig="1545">
          <v:shape id="ole_rId2" o:spid="_x0000_i1025" style="width:28.5pt;height:28.5pt" coordsize="" o:spt="100" adj="0,,0" path="" stroked="f">
            <v:stroke joinstyle="miter"/>
            <v:imagedata r:id="rId7" o:title=""/>
            <v:formulas/>
            <v:path o:connecttype="segments"/>
          </v:shape>
          <o:OLEObject Type="Embed" ProgID="PBrush" ShapeID="ole_rId2" DrawAspect="Content" ObjectID="_1803128353" r:id="rId8"/>
        </w:object>
      </w:r>
      <w:r w:rsidRPr="0004168B">
        <w:rPr>
          <w:rFonts w:ascii="Arial" w:eastAsia="Times New Roman" w:hAnsi="Arial" w:cs="Arial"/>
          <w:kern w:val="0"/>
          <w:sz w:val="20"/>
          <w:szCs w:val="20"/>
        </w:rPr>
        <w:t xml:space="preserve">                                                            </w:t>
      </w:r>
      <w:r w:rsidRPr="0004168B">
        <w:rPr>
          <w:rFonts w:ascii="Arial" w:eastAsia="Times New Roman" w:hAnsi="Arial" w:cs="Arial"/>
          <w:kern w:val="0"/>
          <w:sz w:val="20"/>
          <w:szCs w:val="20"/>
          <w:lang w:val="en-US"/>
        </w:rPr>
        <w:t xml:space="preserve">          </w:t>
      </w:r>
    </w:p>
    <w:p w:rsidR="0004168B" w:rsidRPr="0004168B" w:rsidRDefault="0004168B" w:rsidP="0004168B">
      <w:pPr>
        <w:spacing w:after="0" w:line="240" w:lineRule="auto"/>
        <w:ind w:left="-360" w:firstLine="360"/>
        <w:rPr>
          <w:rFonts w:ascii="Arial" w:eastAsia="Times New Roman" w:hAnsi="Arial" w:cs="Arial"/>
          <w:kern w:val="0"/>
          <w:sz w:val="20"/>
          <w:szCs w:val="20"/>
          <w:lang w:val="en-US"/>
        </w:rPr>
      </w:pPr>
    </w:p>
    <w:tbl>
      <w:tblPr>
        <w:tblpPr w:leftFromText="180" w:rightFromText="180" w:vertAnchor="page" w:horzAnchor="margin" w:tblpY="2518"/>
        <w:tblW w:w="8522" w:type="dxa"/>
        <w:tblLook w:val="01E0"/>
      </w:tblPr>
      <w:tblGrid>
        <w:gridCol w:w="4965"/>
        <w:gridCol w:w="3557"/>
      </w:tblGrid>
      <w:tr w:rsidR="0004168B" w:rsidRPr="0004168B" w:rsidTr="009435FA">
        <w:tc>
          <w:tcPr>
            <w:tcW w:w="4965" w:type="dxa"/>
            <w:shd w:val="clear" w:color="auto" w:fill="auto"/>
          </w:tcPr>
          <w:p w:rsidR="0004168B" w:rsidRPr="0004168B" w:rsidRDefault="0004168B" w:rsidP="0004168B">
            <w:pPr>
              <w:spacing w:after="0" w:line="240" w:lineRule="auto"/>
              <w:rPr>
                <w:rFonts w:ascii="Times New Roman" w:eastAsia="Times New Roman" w:hAnsi="Times New Roman" w:cs="Times New Roman"/>
                <w:b/>
                <w:bCs/>
                <w:kern w:val="0"/>
                <w:sz w:val="20"/>
                <w:szCs w:val="20"/>
              </w:rPr>
            </w:pPr>
            <w:r w:rsidRPr="0004168B">
              <w:rPr>
                <w:rFonts w:ascii="Times New Roman" w:eastAsia="Times New Roman" w:hAnsi="Times New Roman" w:cs="Times New Roman"/>
                <w:b/>
                <w:bCs/>
                <w:kern w:val="0"/>
                <w:sz w:val="20"/>
                <w:szCs w:val="20"/>
              </w:rPr>
              <w:t>ΕΛΛΗΝΙΚΗ ΔΗΜΟΚΡΑΤΙΑ</w:t>
            </w:r>
          </w:p>
          <w:p w:rsidR="0004168B" w:rsidRPr="0004168B" w:rsidRDefault="0004168B" w:rsidP="0004168B">
            <w:pPr>
              <w:spacing w:after="0" w:line="240" w:lineRule="auto"/>
              <w:rPr>
                <w:rFonts w:ascii="Times New Roman" w:eastAsia="Times New Roman" w:hAnsi="Times New Roman" w:cs="Times New Roman"/>
                <w:b/>
                <w:bCs/>
                <w:kern w:val="0"/>
                <w:sz w:val="20"/>
                <w:szCs w:val="20"/>
              </w:rPr>
            </w:pPr>
            <w:r w:rsidRPr="0004168B">
              <w:rPr>
                <w:rFonts w:ascii="Times New Roman" w:eastAsia="Times New Roman" w:hAnsi="Times New Roman" w:cs="Times New Roman"/>
                <w:b/>
                <w:bCs/>
                <w:kern w:val="0"/>
                <w:sz w:val="20"/>
                <w:szCs w:val="20"/>
              </w:rPr>
              <w:t xml:space="preserve">ΥΠΟΥΡΓΕΙΟ ΠΕΡΙΒΑΛΛΟΝΤΟΣ ΚΑΙ ΕΝΕΡΓΕΙΑΣ </w:t>
            </w:r>
          </w:p>
          <w:p w:rsidR="0004168B" w:rsidRPr="0004168B" w:rsidRDefault="0004168B" w:rsidP="0004168B">
            <w:pPr>
              <w:spacing w:after="0" w:line="240" w:lineRule="auto"/>
              <w:rPr>
                <w:rFonts w:ascii="Times New Roman" w:eastAsia="Times New Roman" w:hAnsi="Times New Roman" w:cs="Times New Roman"/>
                <w:kern w:val="0"/>
                <w:sz w:val="20"/>
                <w:szCs w:val="20"/>
              </w:rPr>
            </w:pPr>
            <w:r w:rsidRPr="0004168B">
              <w:rPr>
                <w:rFonts w:ascii="Times New Roman" w:eastAsia="Times New Roman" w:hAnsi="Times New Roman" w:cs="Times New Roman"/>
                <w:b/>
                <w:bCs/>
                <w:kern w:val="0"/>
                <w:sz w:val="20"/>
                <w:szCs w:val="20"/>
              </w:rPr>
              <w:t>ΓΕΝΙΚΗ ΓΡΑΜΜΑΤΕΙΑ ΔΑΣΩΝ</w:t>
            </w:r>
          </w:p>
          <w:p w:rsidR="0004168B" w:rsidRPr="0004168B" w:rsidRDefault="0004168B" w:rsidP="0004168B">
            <w:pPr>
              <w:spacing w:after="0" w:line="240" w:lineRule="auto"/>
              <w:rPr>
                <w:rFonts w:ascii="Times New Roman" w:eastAsia="Times New Roman" w:hAnsi="Times New Roman" w:cs="Times New Roman"/>
                <w:kern w:val="0"/>
                <w:sz w:val="20"/>
                <w:szCs w:val="20"/>
              </w:rPr>
            </w:pPr>
            <w:r w:rsidRPr="0004168B">
              <w:rPr>
                <w:rFonts w:ascii="Times New Roman" w:eastAsia="Times New Roman" w:hAnsi="Times New Roman" w:cs="Times New Roman"/>
                <w:b/>
                <w:bCs/>
                <w:kern w:val="0"/>
                <w:sz w:val="20"/>
                <w:szCs w:val="20"/>
              </w:rPr>
              <w:t>ΓΕΝΙΚΗ ΔΙΕΥΘΥΝΣΗ ΔΑΣΩΝ ΚΑΙ ΔΑΣΙΚΟΥ ΠΕΡΙΒΑΛΛΟΝΤΟΣ</w:t>
            </w:r>
          </w:p>
          <w:p w:rsidR="0004168B" w:rsidRPr="0004168B" w:rsidRDefault="0004168B" w:rsidP="0004168B">
            <w:pPr>
              <w:spacing w:after="0" w:line="240" w:lineRule="auto"/>
              <w:rPr>
                <w:rFonts w:ascii="Times New Roman" w:eastAsia="Times New Roman" w:hAnsi="Times New Roman" w:cs="Times New Roman"/>
                <w:b/>
                <w:bCs/>
                <w:kern w:val="0"/>
                <w:sz w:val="20"/>
                <w:szCs w:val="20"/>
              </w:rPr>
            </w:pPr>
          </w:p>
        </w:tc>
        <w:tc>
          <w:tcPr>
            <w:tcW w:w="3557" w:type="dxa"/>
            <w:shd w:val="clear" w:color="auto" w:fill="auto"/>
          </w:tcPr>
          <w:p w:rsidR="0004168B" w:rsidRPr="0004168B" w:rsidRDefault="0004168B" w:rsidP="0004168B">
            <w:pPr>
              <w:spacing w:after="0" w:line="240" w:lineRule="auto"/>
              <w:rPr>
                <w:rFonts w:ascii="Times New Roman" w:eastAsia="Times New Roman" w:hAnsi="Times New Roman" w:cs="Times New Roman"/>
                <w:b/>
                <w:kern w:val="0"/>
                <w:sz w:val="20"/>
                <w:szCs w:val="20"/>
              </w:rPr>
            </w:pPr>
            <w:r w:rsidRPr="0004168B">
              <w:rPr>
                <w:rFonts w:ascii="Times New Roman" w:eastAsia="Times New Roman" w:hAnsi="Times New Roman" w:cs="Times New Roman"/>
                <w:b/>
                <w:kern w:val="0"/>
                <w:sz w:val="20"/>
                <w:szCs w:val="20"/>
              </w:rPr>
              <w:t xml:space="preserve">        </w:t>
            </w:r>
          </w:p>
          <w:p w:rsidR="0004168B" w:rsidRPr="0004168B" w:rsidRDefault="0004168B" w:rsidP="0004168B">
            <w:pPr>
              <w:spacing w:after="0" w:line="240" w:lineRule="auto"/>
              <w:rPr>
                <w:rFonts w:ascii="Times New Roman" w:eastAsia="Times New Roman" w:hAnsi="Times New Roman" w:cs="Times New Roman"/>
                <w:b/>
                <w:color w:val="FF0000"/>
                <w:kern w:val="0"/>
                <w:sz w:val="20"/>
                <w:szCs w:val="20"/>
                <w:u w:val="single"/>
              </w:rPr>
            </w:pPr>
          </w:p>
          <w:p w:rsidR="0004168B" w:rsidRPr="0004168B" w:rsidRDefault="0004168B" w:rsidP="0004168B">
            <w:pPr>
              <w:spacing w:after="0" w:line="240" w:lineRule="auto"/>
              <w:rPr>
                <w:rFonts w:ascii="Times New Roman" w:eastAsia="Times New Roman" w:hAnsi="Times New Roman" w:cs="Times New Roman"/>
                <w:b/>
                <w:kern w:val="0"/>
                <w:sz w:val="20"/>
                <w:szCs w:val="20"/>
              </w:rPr>
            </w:pPr>
          </w:p>
          <w:p w:rsidR="0004168B" w:rsidRPr="0004168B" w:rsidRDefault="0004168B" w:rsidP="0004168B">
            <w:pPr>
              <w:spacing w:after="0" w:line="240" w:lineRule="auto"/>
              <w:rPr>
                <w:rFonts w:ascii="Times New Roman" w:eastAsia="Times New Roman" w:hAnsi="Times New Roman" w:cs="Times New Roman"/>
                <w:b/>
                <w:kern w:val="0"/>
                <w:sz w:val="20"/>
                <w:szCs w:val="20"/>
              </w:rPr>
            </w:pPr>
          </w:p>
          <w:p w:rsidR="0004168B" w:rsidRPr="0004168B" w:rsidRDefault="0004168B" w:rsidP="0004168B">
            <w:pPr>
              <w:spacing w:after="0" w:line="240" w:lineRule="auto"/>
              <w:rPr>
                <w:rFonts w:ascii="Times New Roman" w:eastAsia="Times New Roman" w:hAnsi="Times New Roman" w:cs="Times New Roman"/>
                <w:b/>
                <w:kern w:val="0"/>
                <w:sz w:val="20"/>
                <w:szCs w:val="20"/>
              </w:rPr>
            </w:pPr>
            <w:r w:rsidRPr="0004168B">
              <w:rPr>
                <w:rFonts w:ascii="Times New Roman" w:eastAsia="Times New Roman" w:hAnsi="Times New Roman" w:cs="Times New Roman"/>
                <w:b/>
                <w:kern w:val="0"/>
                <w:sz w:val="20"/>
                <w:szCs w:val="20"/>
              </w:rPr>
              <w:t xml:space="preserve">  </w:t>
            </w:r>
          </w:p>
          <w:p w:rsidR="0004168B" w:rsidRPr="0004168B" w:rsidRDefault="0004168B" w:rsidP="0004168B">
            <w:pPr>
              <w:spacing w:after="0" w:line="240" w:lineRule="auto"/>
              <w:rPr>
                <w:rFonts w:ascii="Times New Roman" w:eastAsia="Times New Roman" w:hAnsi="Times New Roman" w:cs="Times New Roman"/>
                <w:kern w:val="0"/>
                <w:sz w:val="20"/>
                <w:szCs w:val="20"/>
              </w:rPr>
            </w:pPr>
          </w:p>
        </w:tc>
      </w:tr>
    </w:tbl>
    <w:p w:rsidR="0004168B" w:rsidRPr="0004168B" w:rsidRDefault="0004168B" w:rsidP="0004168B">
      <w:pPr>
        <w:spacing w:after="0" w:line="240" w:lineRule="auto"/>
        <w:rPr>
          <w:rFonts w:ascii="Times New Roman" w:eastAsia="Times New Roman" w:hAnsi="Times New Roman" w:cs="Times New Roman"/>
          <w:kern w:val="0"/>
          <w:sz w:val="24"/>
          <w:szCs w:val="20"/>
        </w:rPr>
      </w:pPr>
    </w:p>
    <w:p w:rsidR="0004168B" w:rsidRPr="0004168B" w:rsidRDefault="0004168B" w:rsidP="0004168B">
      <w:pPr>
        <w:spacing w:line="360" w:lineRule="auto"/>
        <w:rPr>
          <w:rFonts w:ascii="Times New Roman" w:hAnsi="Times New Roman" w:cs="Times New Roman"/>
          <w:b/>
          <w:bCs/>
          <w:sz w:val="24"/>
          <w:szCs w:val="24"/>
        </w:rPr>
      </w:pPr>
    </w:p>
    <w:p w:rsidR="0004168B" w:rsidRPr="0004168B" w:rsidRDefault="0004168B" w:rsidP="0004168B">
      <w:pPr>
        <w:spacing w:line="360" w:lineRule="auto"/>
        <w:jc w:val="center"/>
        <w:rPr>
          <w:rFonts w:ascii="Times New Roman" w:hAnsi="Times New Roman" w:cs="Times New Roman"/>
          <w:b/>
          <w:bCs/>
          <w:sz w:val="24"/>
          <w:szCs w:val="24"/>
        </w:rPr>
      </w:pPr>
      <w:r w:rsidRPr="0004168B">
        <w:rPr>
          <w:rFonts w:ascii="Times New Roman" w:hAnsi="Times New Roman" w:cs="Times New Roman"/>
          <w:b/>
          <w:bCs/>
          <w:sz w:val="24"/>
          <w:szCs w:val="24"/>
        </w:rPr>
        <w:t>ΑΠΟΦΑΣΗ</w:t>
      </w:r>
    </w:p>
    <w:p w:rsidR="0004168B" w:rsidRPr="0004168B" w:rsidRDefault="0004168B" w:rsidP="00041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04168B" w:rsidRPr="0004168B" w:rsidRDefault="0004168B" w:rsidP="00041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0"/>
          <w:sz w:val="24"/>
          <w:szCs w:val="24"/>
          <w:lang w:eastAsia="el-GR"/>
        </w:rPr>
      </w:pPr>
      <w:r w:rsidRPr="0004168B">
        <w:rPr>
          <w:rFonts w:ascii="Times New Roman" w:hAnsi="Times New Roman" w:cs="Times New Roman"/>
          <w:sz w:val="24"/>
          <w:szCs w:val="24"/>
        </w:rPr>
        <w:t>Θέμα: «Π</w:t>
      </w:r>
      <w:r w:rsidRPr="0004168B">
        <w:rPr>
          <w:rFonts w:ascii="Times New Roman" w:eastAsia="Times New Roman" w:hAnsi="Times New Roman" w:cs="Times New Roman"/>
          <w:kern w:val="0"/>
          <w:sz w:val="24"/>
          <w:szCs w:val="24"/>
          <w:lang w:eastAsia="el-GR"/>
        </w:rPr>
        <w:t>ροϋποθέσεις εφαρμογής του άρθρου 27 «Επιδότηση Αναδόχων / Δικαιώματα ρύπων» του ν. 5106/2024 (Α΄63)»</w:t>
      </w:r>
    </w:p>
    <w:p w:rsidR="0004168B" w:rsidRPr="0004168B" w:rsidRDefault="0004168B" w:rsidP="00041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0"/>
          <w:sz w:val="24"/>
          <w:szCs w:val="24"/>
          <w:lang w:eastAsia="el-GR"/>
        </w:rPr>
      </w:pPr>
    </w:p>
    <w:p w:rsidR="0004168B" w:rsidRPr="0004168B" w:rsidRDefault="0004168B" w:rsidP="0004168B">
      <w:pPr>
        <w:spacing w:line="360" w:lineRule="auto"/>
        <w:jc w:val="center"/>
        <w:rPr>
          <w:rFonts w:ascii="Times New Roman" w:hAnsi="Times New Roman" w:cs="Times New Roman"/>
          <w:b/>
          <w:bCs/>
          <w:sz w:val="24"/>
          <w:szCs w:val="24"/>
        </w:rPr>
      </w:pPr>
      <w:r w:rsidRPr="0004168B">
        <w:rPr>
          <w:rFonts w:ascii="Times New Roman" w:hAnsi="Times New Roman" w:cs="Times New Roman"/>
          <w:b/>
          <w:bCs/>
          <w:sz w:val="24"/>
          <w:szCs w:val="24"/>
        </w:rPr>
        <w:t>Ο ΥΠΟΥΡΓΟΣ ΠΕΡΙΒΑΛΛΟΝΤΟΣ ΚΑΙ ΕΝΕΡΓΕΙΑΣ</w:t>
      </w:r>
    </w:p>
    <w:p w:rsidR="0004168B" w:rsidRPr="0004168B" w:rsidRDefault="0004168B" w:rsidP="0004168B">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sz w:val="24"/>
          <w:szCs w:val="24"/>
        </w:rPr>
      </w:pPr>
      <w:r w:rsidRPr="0004168B">
        <w:rPr>
          <w:rFonts w:ascii="Times New Roman" w:hAnsi="Times New Roman" w:cs="Times New Roman"/>
          <w:b/>
          <w:bCs/>
          <w:sz w:val="24"/>
          <w:szCs w:val="24"/>
        </w:rPr>
        <w:t xml:space="preserve"> </w:t>
      </w:r>
    </w:p>
    <w:p w:rsidR="0004168B" w:rsidRPr="0004168B" w:rsidRDefault="0004168B" w:rsidP="0004168B">
      <w:pPr>
        <w:tabs>
          <w:tab w:val="left" w:pos="426"/>
        </w:tabs>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Έχοντας  υπόψη:</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1. Το άρθρο 90 του Κώδικα νομοθεσίας για την Κυβέρνηση και τα κυβερνητικά όργανα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xml:space="preserve">. 63/2005, Α' 98), το οποίο διατηρήθηκε σε ισχύ με την </w:t>
      </w:r>
      <w:proofErr w:type="spellStart"/>
      <w:r w:rsidRPr="0004168B">
        <w:rPr>
          <w:rFonts w:ascii="Times New Roman" w:eastAsia="Times New Roman" w:hAnsi="Times New Roman" w:cs="Times New Roman"/>
          <w:color w:val="000000"/>
          <w:kern w:val="0"/>
          <w:sz w:val="24"/>
          <w:szCs w:val="24"/>
          <w:lang w:eastAsia="el-GR"/>
        </w:rPr>
        <w:t>περ</w:t>
      </w:r>
      <w:proofErr w:type="spellEnd"/>
      <w:r w:rsidRPr="0004168B">
        <w:rPr>
          <w:rFonts w:ascii="Times New Roman" w:eastAsia="Times New Roman" w:hAnsi="Times New Roman" w:cs="Times New Roman"/>
          <w:color w:val="000000"/>
          <w:kern w:val="0"/>
          <w:sz w:val="24"/>
          <w:szCs w:val="24"/>
          <w:lang w:eastAsia="el-GR"/>
        </w:rPr>
        <w:t>. 22 του άρθρου 119 του ν. 4622/2019 (Α' 133).</w:t>
      </w:r>
    </w:p>
    <w:p w:rsidR="0004168B" w:rsidRPr="0004168B" w:rsidRDefault="0004168B" w:rsidP="0004168B">
      <w:pPr>
        <w:tabs>
          <w:tab w:val="left" w:pos="426"/>
        </w:tabs>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2.</w:t>
      </w:r>
      <w:r w:rsidRPr="0004168B">
        <w:rPr>
          <w:rFonts w:ascii="Times New Roman" w:hAnsi="Times New Roman" w:cs="Times New Roman"/>
          <w:sz w:val="24"/>
          <w:szCs w:val="24"/>
        </w:rPr>
        <w:tab/>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rsidR="0004168B" w:rsidRPr="0004168B" w:rsidRDefault="0004168B" w:rsidP="0004168B">
      <w:pPr>
        <w:tabs>
          <w:tab w:val="left" w:pos="426"/>
        </w:tabs>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 xml:space="preserve">3. Το </w:t>
      </w:r>
      <w:proofErr w:type="spellStart"/>
      <w:r w:rsidRPr="0004168B">
        <w:rPr>
          <w:rFonts w:ascii="Times New Roman" w:hAnsi="Times New Roman" w:cs="Times New Roman"/>
          <w:sz w:val="24"/>
          <w:szCs w:val="24"/>
        </w:rPr>
        <w:t>ν.δ</w:t>
      </w:r>
      <w:proofErr w:type="spellEnd"/>
      <w:r w:rsidRPr="0004168B">
        <w:rPr>
          <w:rFonts w:ascii="Times New Roman" w:hAnsi="Times New Roman" w:cs="Times New Roman"/>
          <w:sz w:val="24"/>
          <w:szCs w:val="24"/>
        </w:rPr>
        <w:t xml:space="preserve">. 86/1969 «Δασικός </w:t>
      </w:r>
      <w:proofErr w:type="spellStart"/>
      <w:r w:rsidRPr="0004168B">
        <w:rPr>
          <w:rFonts w:ascii="Times New Roman" w:hAnsi="Times New Roman" w:cs="Times New Roman"/>
          <w:sz w:val="24"/>
          <w:szCs w:val="24"/>
        </w:rPr>
        <w:t>Κώδιξ</w:t>
      </w:r>
      <w:proofErr w:type="spellEnd"/>
      <w:r w:rsidRPr="0004168B">
        <w:rPr>
          <w:rFonts w:ascii="Times New Roman" w:hAnsi="Times New Roman" w:cs="Times New Roman"/>
          <w:sz w:val="24"/>
          <w:szCs w:val="24"/>
        </w:rPr>
        <w:t>» (Α΄7)</w:t>
      </w:r>
    </w:p>
    <w:p w:rsidR="0004168B" w:rsidRPr="0004168B" w:rsidRDefault="0004168B" w:rsidP="0004168B">
      <w:pPr>
        <w:tabs>
          <w:tab w:val="left" w:pos="426"/>
        </w:tabs>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4. Τον ν. 4423/2016 «Δασικές Συνεταιριστικές Οργανώσεις και άλλες διατάξεις» (Α΄187)</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 xml:space="preserve">5. Τα άρθρα 27 και 32 παρ. 4 </w:t>
      </w:r>
      <w:proofErr w:type="spellStart"/>
      <w:r w:rsidRPr="0004168B">
        <w:rPr>
          <w:rFonts w:ascii="Times New Roman" w:hAnsi="Times New Roman" w:cs="Times New Roman"/>
          <w:sz w:val="24"/>
          <w:szCs w:val="24"/>
        </w:rPr>
        <w:t>εδ</w:t>
      </w:r>
      <w:proofErr w:type="spellEnd"/>
      <w:r w:rsidRPr="0004168B">
        <w:rPr>
          <w:rFonts w:ascii="Times New Roman" w:hAnsi="Times New Roman" w:cs="Times New Roman"/>
          <w:sz w:val="24"/>
          <w:szCs w:val="24"/>
        </w:rPr>
        <w:t xml:space="preserve">. </w:t>
      </w:r>
      <w:proofErr w:type="spellStart"/>
      <w:r w:rsidRPr="0004168B">
        <w:rPr>
          <w:rFonts w:ascii="Times New Roman" w:hAnsi="Times New Roman" w:cs="Times New Roman"/>
          <w:sz w:val="24"/>
          <w:szCs w:val="24"/>
        </w:rPr>
        <w:t>α΄</w:t>
      </w:r>
      <w:proofErr w:type="spellEnd"/>
      <w:r w:rsidRPr="0004168B">
        <w:rPr>
          <w:rFonts w:ascii="Times New Roman" w:hAnsi="Times New Roman" w:cs="Times New Roman"/>
          <w:sz w:val="24"/>
          <w:szCs w:val="24"/>
        </w:rPr>
        <w:t xml:space="preserve"> του ν. 5106/2024 «Ρυθμίσεις για την αντιμετώπιση των </w:t>
      </w:r>
      <w:proofErr w:type="spellStart"/>
      <w:r w:rsidRPr="0004168B">
        <w:rPr>
          <w:rFonts w:ascii="Times New Roman" w:hAnsi="Times New Roman" w:cs="Times New Roman"/>
          <w:sz w:val="24"/>
          <w:szCs w:val="24"/>
        </w:rPr>
        <w:t>πολυεπίπεδων</w:t>
      </w:r>
      <w:proofErr w:type="spellEnd"/>
      <w:r w:rsidRPr="0004168B">
        <w:rPr>
          <w:rFonts w:ascii="Times New Roman" w:hAnsi="Times New Roman" w:cs="Times New Roman"/>
          <w:sz w:val="24"/>
          <w:szCs w:val="24"/>
        </w:rPr>
        <w:t xml:space="preserve">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και άλλες επείγουσες διατάξεις» (Α΄ 63)</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 xml:space="preserve">6.  το </w:t>
      </w:r>
      <w:proofErr w:type="spellStart"/>
      <w:r w:rsidRPr="0004168B">
        <w:rPr>
          <w:rFonts w:ascii="Times New Roman" w:hAnsi="Times New Roman" w:cs="Times New Roman"/>
          <w:sz w:val="24"/>
          <w:szCs w:val="24"/>
        </w:rPr>
        <w:t>π.δ</w:t>
      </w:r>
      <w:proofErr w:type="spellEnd"/>
      <w:r w:rsidRPr="0004168B">
        <w:rPr>
          <w:rFonts w:ascii="Times New Roman" w:hAnsi="Times New Roman" w:cs="Times New Roman"/>
          <w:sz w:val="24"/>
          <w:szCs w:val="24"/>
        </w:rPr>
        <w:t>. 29/2022 «Οργανισμός Υπουργείου Περιβάλλοντος και Ενέργειας» (Α΄ 77)</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lastRenderedPageBreak/>
        <w:t xml:space="preserve">7.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79/2023 «Διορισμός Υπουργών, Αναπληρωτών Υπουργών και Υφυπουργών» (Α' 131).</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8.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189/2009 «Καθορισμός και ανακατανομή αρμοδιοτήτων των Υπουργείων» (Α' 221), με το οποίο η Γενική Διεύθυνση Ανάπτυξης και Προστασίας Δασών και Φ.Π. μεταφέρεται στο Υπουργείο Περιβάλλοντος, Ενέργειας και Κλιματικής Αλλαγής.</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9.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xml:space="preserve">. 132/2017 «Οργανισμός Υπουργείου Περιβάλλοντος και Ενέργειας (Υ.Π.ΕΝ.)» (Α' 160), όπως τροποποιήθηκε με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29/2022 (Α' 77).</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10.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70/2015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 (Α' 114), με το οποίο το Υπουργείο Παραγωγικής Ανασυγκρότησης, Περιβάλλοντος και Ενέργειας μετονομάζεται σε Υπουργείο Περιβάλλοντος και Ενέργειας.</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11.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12.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6/2022 «Σύσταση μετονομασία Γενικών Γραμματειών, σύσταση Ειδικής Γραμματείας, μεταφορά υπηρεσιών και αρμοδιοτήτων» (Α' 17).</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13. Το </w:t>
      </w:r>
      <w:proofErr w:type="spellStart"/>
      <w:r w:rsidRPr="0004168B">
        <w:rPr>
          <w:rFonts w:ascii="Times New Roman" w:eastAsia="Times New Roman" w:hAnsi="Times New Roman" w:cs="Times New Roman"/>
          <w:color w:val="000000"/>
          <w:kern w:val="0"/>
          <w:sz w:val="24"/>
          <w:szCs w:val="24"/>
          <w:lang w:eastAsia="el-GR"/>
        </w:rPr>
        <w:t>π.δ</w:t>
      </w:r>
      <w:proofErr w:type="spellEnd"/>
      <w:r w:rsidRPr="0004168B">
        <w:rPr>
          <w:rFonts w:ascii="Times New Roman" w:eastAsia="Times New Roman" w:hAnsi="Times New Roman" w:cs="Times New Roman"/>
          <w:color w:val="000000"/>
          <w:kern w:val="0"/>
          <w:sz w:val="24"/>
          <w:szCs w:val="24"/>
          <w:lang w:eastAsia="el-GR"/>
        </w:rPr>
        <w:t>. 84/2019 «Σύσταση και κατάργηση Γενικών Γραμματειών και Ειδικών Γραμματειών / Ενιαίων Διοικητικών Τομέων Υπουργείων» (Α' 123).</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14. Την υπό στοιχεία ΥΠΕΝ/ΥΠΡΓ/79859/5910/25.07.2023 κοινή απόφαση του Πρωθυπουργού και του Υπουργού Περιβάλλοντος και Ενέργειας «Διορισμός Γενικού Γραμματέα Δασών του Υπουργείου Περιβάλλοντος και Ενέργειας» (Υ.Ο.Δ.Δ. 745).</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15. Την υπό στοιχεία ΥΠΕΝ/ΔΟΙΚΔ/74135/6765/30.07.2020 απόφαση του Υπηρεσιακού Γραμματέα ΥΠΕΝ «Ορισμός Αναπληρωτή Προϊσταμένου Γενικής Διεύθυνσης Δασών και Δασικού Περιβάλλοντος» (ΑΔΑ: 6ΡΛ34653Π8-028).</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lastRenderedPageBreak/>
        <w:t>16. Τον ν. 4423/2016 «Δασικές Συνεταιριστικές Οργανώσεις και άλλες διατάξεις» (Α' 182).</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17. Την υπό στοιχεία ΥΠΕΝ/ΔΔΔ/53724/85/12-6-2019 υπουργική απόφαση «Τήρηση του Μητρώου Δασικών Συνεταιριστικών Οργανώσεων και Δασεργατών κατ' εφαρμογή του ν. 4423/2016» (Β' 2398).</w:t>
      </w: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18. Την υπό στοιχεία ΥΠΕΝ/…………………. εισήγηση της Γενικής Διεύθυνσης Οικονομικών Υπηρεσιών του Υπουργείου Περιβάλλοντος και Ενέργειας, σύμφωνα με τα οριζόμενα στην παρ. 5ε του άρθρου 24 του ν. 4270/2014 (Α' 143), όπως τροποποιήθηκε και ισχύει.</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19. Το άρθρο 25 του ν.3486/2006 «Παραγωγή ηλεκτρικής ενέργειας από ανανεώσιμες πηγές ενέργειας και συμπαραγωγή ηλεκτρισμού και θερμότητας υψηλής απόδοσης και λοιπές διατάξεις» (Α΄ 129)</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 xml:space="preserve">20. Την υπό στοιχεία </w:t>
      </w:r>
      <w:r w:rsidRPr="00D03AF9">
        <w:rPr>
          <w:rFonts w:ascii="Times New Roman" w:hAnsi="Times New Roman" w:cs="Times New Roman"/>
          <w:sz w:val="24"/>
          <w:szCs w:val="24"/>
        </w:rPr>
        <w:t>ΥΠΕΝ/ΓΔΠΠ/…</w:t>
      </w:r>
      <w:r w:rsidRPr="0004168B">
        <w:rPr>
          <w:rFonts w:ascii="Times New Roman" w:hAnsi="Times New Roman" w:cs="Times New Roman"/>
          <w:sz w:val="24"/>
          <w:szCs w:val="24"/>
        </w:rPr>
        <w:t xml:space="preserve"> εισήγηση της ΓΔΟΥ του ΥΠΕΝ, σύμφωνα με την οποία από τις διατάξεις της παρούσας προκύπτει δαπάνη η οποία θα διατεθεί από την κατανομή των εσόδων </w:t>
      </w:r>
      <w:r w:rsidRPr="0004168B">
        <w:rPr>
          <w:rFonts w:ascii="Times New Roman" w:eastAsia="Times New Roman" w:hAnsi="Times New Roman" w:cs="Times New Roman"/>
          <w:color w:val="000000"/>
          <w:kern w:val="0"/>
          <w:sz w:val="24"/>
          <w:szCs w:val="24"/>
          <w:lang w:eastAsia="el-GR"/>
        </w:rPr>
        <w:t>των πλειστηριασμών δικαιωμάτων εκπομπών αερίων ρύπων θερμοκηπίου.</w:t>
      </w:r>
    </w:p>
    <w:p w:rsidR="0004168B" w:rsidRPr="0004168B" w:rsidRDefault="0004168B" w:rsidP="0004168B">
      <w:pPr>
        <w:spacing w:line="360" w:lineRule="auto"/>
        <w:jc w:val="both"/>
        <w:rPr>
          <w:rFonts w:ascii="Times New Roman" w:hAnsi="Times New Roman" w:cs="Times New Roman"/>
          <w:sz w:val="24"/>
          <w:szCs w:val="24"/>
        </w:rPr>
      </w:pPr>
    </w:p>
    <w:p w:rsidR="0004168B" w:rsidRPr="0004168B" w:rsidRDefault="0004168B" w:rsidP="0004168B">
      <w:pPr>
        <w:spacing w:line="360" w:lineRule="auto"/>
        <w:jc w:val="center"/>
        <w:rPr>
          <w:rFonts w:ascii="Times New Roman" w:hAnsi="Times New Roman" w:cs="Times New Roman"/>
          <w:b/>
          <w:bCs/>
          <w:sz w:val="24"/>
          <w:szCs w:val="24"/>
        </w:rPr>
      </w:pPr>
      <w:r w:rsidRPr="0004168B">
        <w:rPr>
          <w:rFonts w:ascii="Times New Roman" w:hAnsi="Times New Roman" w:cs="Times New Roman"/>
          <w:b/>
          <w:bCs/>
          <w:sz w:val="24"/>
          <w:szCs w:val="24"/>
        </w:rPr>
        <w:t>Αποφασίζουμε</w:t>
      </w:r>
    </w:p>
    <w:p w:rsidR="0004168B" w:rsidRPr="0004168B" w:rsidRDefault="0004168B" w:rsidP="0004168B">
      <w:pPr>
        <w:spacing w:line="360" w:lineRule="auto"/>
        <w:jc w:val="center"/>
        <w:rPr>
          <w:rFonts w:ascii="Times New Roman" w:hAnsi="Times New Roman" w:cs="Times New Roman"/>
          <w:b/>
          <w:bCs/>
          <w:sz w:val="24"/>
          <w:szCs w:val="24"/>
        </w:rPr>
      </w:pPr>
    </w:p>
    <w:p w:rsidR="0004168B" w:rsidRPr="0004168B" w:rsidRDefault="0004168B" w:rsidP="0004168B">
      <w:pPr>
        <w:spacing w:line="360" w:lineRule="auto"/>
        <w:jc w:val="center"/>
        <w:rPr>
          <w:rFonts w:ascii="Times New Roman" w:hAnsi="Times New Roman" w:cs="Times New Roman"/>
          <w:b/>
          <w:bCs/>
          <w:sz w:val="24"/>
          <w:szCs w:val="24"/>
        </w:rPr>
      </w:pPr>
      <w:r w:rsidRPr="0004168B">
        <w:rPr>
          <w:rFonts w:ascii="Times New Roman" w:hAnsi="Times New Roman" w:cs="Times New Roman"/>
          <w:b/>
          <w:bCs/>
          <w:sz w:val="24"/>
          <w:szCs w:val="24"/>
        </w:rPr>
        <w:t>Άρθρο 1</w:t>
      </w:r>
    </w:p>
    <w:p w:rsidR="0004168B" w:rsidRPr="0004168B" w:rsidRDefault="0004168B" w:rsidP="0004168B">
      <w:pPr>
        <w:spacing w:line="360" w:lineRule="auto"/>
        <w:jc w:val="center"/>
        <w:rPr>
          <w:rFonts w:ascii="Times New Roman" w:hAnsi="Times New Roman" w:cs="Times New Roman"/>
          <w:b/>
          <w:bCs/>
          <w:sz w:val="24"/>
          <w:szCs w:val="24"/>
        </w:rPr>
      </w:pPr>
      <w:r w:rsidRPr="0004168B">
        <w:rPr>
          <w:rFonts w:ascii="Times New Roman" w:hAnsi="Times New Roman" w:cs="Times New Roman"/>
          <w:b/>
          <w:bCs/>
          <w:sz w:val="24"/>
          <w:szCs w:val="24"/>
        </w:rPr>
        <w:t>Γενικές Διατάξεις</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1. Τα Υβριδικά Συνεργατικά Σχήματα (</w:t>
      </w:r>
      <w:proofErr w:type="spellStart"/>
      <w:r w:rsidRPr="0004168B">
        <w:rPr>
          <w:rFonts w:ascii="Times New Roman" w:eastAsia="Times New Roman" w:hAnsi="Times New Roman" w:cs="Times New Roman"/>
          <w:color w:val="000000"/>
          <w:kern w:val="0"/>
          <w:sz w:val="24"/>
          <w:szCs w:val="24"/>
          <w:lang w:eastAsia="el-GR"/>
        </w:rPr>
        <w:t>Υ.Σ.Σχη</w:t>
      </w:r>
      <w:proofErr w:type="spellEnd"/>
      <w:r w:rsidRPr="0004168B">
        <w:rPr>
          <w:rFonts w:ascii="Times New Roman" w:eastAsia="Times New Roman" w:hAnsi="Times New Roman" w:cs="Times New Roman"/>
          <w:color w:val="000000"/>
          <w:kern w:val="0"/>
          <w:sz w:val="24"/>
          <w:szCs w:val="24"/>
          <w:lang w:eastAsia="el-GR"/>
        </w:rPr>
        <w:t xml:space="preserve">.) και οι Δασικοί Συνεταιρισμοί Εργασίας που έχουν αναλάβει την υλοποίηση της διαχείρισης και εκμετάλλευσης δασών ή διαχειριστικών μονάδων λαμβάνουν ετήσια επιδότηση με βάση τα έσοδα από τους πλειστηριασμούς δικαιωμάτων εκπομπής ρύπων. </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2. Ποσοστό </w:t>
      </w:r>
      <w:r w:rsidRPr="00D03AF9">
        <w:rPr>
          <w:rFonts w:ascii="Times New Roman" w:eastAsia="Times New Roman" w:hAnsi="Times New Roman" w:cs="Times New Roman"/>
          <w:color w:val="000000"/>
          <w:kern w:val="0"/>
          <w:sz w:val="24"/>
          <w:szCs w:val="24"/>
          <w:lang w:eastAsia="el-GR"/>
        </w:rPr>
        <w:t>…</w:t>
      </w:r>
      <w:r w:rsidRPr="0004168B">
        <w:rPr>
          <w:rFonts w:ascii="Times New Roman" w:eastAsia="Times New Roman" w:hAnsi="Times New Roman" w:cs="Times New Roman"/>
          <w:color w:val="000000"/>
          <w:kern w:val="0"/>
          <w:sz w:val="24"/>
          <w:szCs w:val="24"/>
          <w:lang w:eastAsia="el-GR"/>
        </w:rPr>
        <w:t>% από τα έσοδα των πλειστηριασμών δικαιωμάτων εκπομπών αερίων ρύπων θερμοκηπίου διατίθενται για την κάλυψη της επιδότησης των φορέων της παραγράφου 1 του παρόντος άρθρου.</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04168B">
        <w:rPr>
          <w:rFonts w:ascii="Times New Roman" w:eastAsia="Times New Roman" w:hAnsi="Times New Roman" w:cs="Times New Roman"/>
          <w:b/>
          <w:bCs/>
          <w:color w:val="000000"/>
          <w:kern w:val="0"/>
          <w:sz w:val="24"/>
          <w:szCs w:val="24"/>
          <w:lang w:eastAsia="el-GR"/>
        </w:rPr>
        <w:t>Άρθρο 2</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04168B">
        <w:rPr>
          <w:rFonts w:ascii="Times New Roman" w:eastAsia="Times New Roman" w:hAnsi="Times New Roman" w:cs="Times New Roman"/>
          <w:b/>
          <w:bCs/>
          <w:color w:val="000000"/>
          <w:kern w:val="0"/>
          <w:sz w:val="24"/>
          <w:szCs w:val="24"/>
          <w:lang w:eastAsia="el-GR"/>
        </w:rPr>
        <w:t>Κατανομή Επιδότησης</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1. Το ποσό της επιδότησης υπολογίζεται ως ποσοστό των εσόδων πώλησης της βιομάζας που απολαμβάνεται πολλαπλασιαζόμενο με τον συντελεστή που ορίζεται ανά είδος βιομάζας σε συνδυασμό με τον συντελεστή δυσκολίας διαχείρισης των δασών ή διαχειριστικών μονάδων που έχουν αναλάβει οι  φορείς του άρθρου 1.</w:t>
      </w:r>
    </w:p>
    <w:p w:rsidR="0004168B" w:rsidRPr="0004168B" w:rsidRDefault="0004168B" w:rsidP="0004168B">
      <w:pPr>
        <w:spacing w:line="360" w:lineRule="auto"/>
        <w:jc w:val="both"/>
        <w:rPr>
          <w:rFonts w:ascii="Times New Roman" w:eastAsia="Times New Roman" w:hAnsi="Times New Roman" w:cs="Times New Roman"/>
          <w:color w:val="000000"/>
          <w:kern w:val="0"/>
          <w:sz w:val="24"/>
          <w:szCs w:val="24"/>
          <w:lang w:eastAsia="el-GR"/>
        </w:rPr>
      </w:pPr>
    </w:p>
    <w:p w:rsidR="0004168B" w:rsidRPr="0004168B" w:rsidRDefault="0004168B" w:rsidP="0004168B">
      <w:pPr>
        <w:spacing w:before="100" w:beforeAutospacing="1" w:after="100" w:afterAutospacing="1" w:line="360" w:lineRule="auto"/>
        <w:jc w:val="both"/>
        <w:rPr>
          <w:rFonts w:ascii="Times New Roman" w:hAnsi="Times New Roman" w:cs="Times New Roman"/>
          <w:sz w:val="24"/>
          <w:szCs w:val="24"/>
        </w:rPr>
      </w:pPr>
      <w:r w:rsidRPr="0004168B">
        <w:rPr>
          <w:rFonts w:ascii="Times New Roman" w:eastAsia="Times New Roman" w:hAnsi="Times New Roman" w:cs="Times New Roman"/>
          <w:color w:val="000000"/>
          <w:kern w:val="0"/>
          <w:sz w:val="24"/>
          <w:szCs w:val="24"/>
          <w:lang w:eastAsia="el-GR"/>
        </w:rPr>
        <w:t xml:space="preserve">2. Οι συντελεστές βαρύτητας </w:t>
      </w:r>
      <w:r w:rsidRPr="0004168B">
        <w:rPr>
          <w:rFonts w:ascii="Times New Roman" w:eastAsia="Times New Roman" w:hAnsi="Times New Roman" w:cs="Times New Roman"/>
          <w:kern w:val="0"/>
          <w:sz w:val="24"/>
          <w:szCs w:val="24"/>
          <w:lang w:eastAsia="el-GR"/>
        </w:rPr>
        <w:t xml:space="preserve">ανά κατηγορία βιομάζας και δυσκολίας διαχείρισης ορίζονται αντίστοιχα στο ΠΑΡΑΡΤΗΜΑ Α και στο ΠΑΡΑΡΤΗΜΑ Β της παρούσας. Ο συντελεστής Δυσκολίας Διαχείρισης υπολογίζεται από την Γενική Διεύθυνση Δασών και Δασικού Περιβάλλοντος (ΓΔΔΔΠ), λαμβάνοντας </w:t>
      </w:r>
      <w:proofErr w:type="spellStart"/>
      <w:r w:rsidRPr="0004168B">
        <w:rPr>
          <w:rFonts w:ascii="Times New Roman" w:eastAsia="Times New Roman" w:hAnsi="Times New Roman" w:cs="Times New Roman"/>
          <w:kern w:val="0"/>
          <w:sz w:val="24"/>
          <w:szCs w:val="24"/>
          <w:lang w:eastAsia="el-GR"/>
        </w:rPr>
        <w:t>υπόψιν</w:t>
      </w:r>
      <w:proofErr w:type="spellEnd"/>
      <w:r w:rsidRPr="0004168B">
        <w:rPr>
          <w:rFonts w:ascii="Times New Roman" w:eastAsia="Times New Roman" w:hAnsi="Times New Roman" w:cs="Times New Roman"/>
          <w:kern w:val="0"/>
          <w:sz w:val="24"/>
          <w:szCs w:val="24"/>
          <w:lang w:eastAsia="el-GR"/>
        </w:rPr>
        <w:t xml:space="preserve"> τις σχετικές εισηγήσεις των περιφερειακών Δασικών Υπηρεσιών, για την αξιολόγηση των διαχειριστικών μονάδων ευθύνης τους και περιλαμβάνονται στην εκάστοτε πρόσκληση ανάθεσης του άρθρου 21 του ν. 5106/2024. Ο συντελεστής είδους βιομάζας εξαρτάται από τα δασικά προϊόντα που θα παραχθούν.</w:t>
      </w:r>
    </w:p>
    <w:p w:rsidR="0004168B" w:rsidRPr="0004168B" w:rsidRDefault="0004168B" w:rsidP="0004168B">
      <w:pPr>
        <w:spacing w:before="100" w:beforeAutospacing="1" w:after="100" w:afterAutospacing="1" w:line="360" w:lineRule="auto"/>
        <w:jc w:val="both"/>
        <w:rPr>
          <w:rFonts w:ascii="Times New Roman" w:hAnsi="Times New Roman" w:cs="Times New Roman"/>
          <w:sz w:val="24"/>
          <w:szCs w:val="24"/>
        </w:rPr>
      </w:pPr>
      <w:r w:rsidRPr="0004168B">
        <w:rPr>
          <w:rFonts w:ascii="Times New Roman" w:eastAsia="Times New Roman" w:hAnsi="Times New Roman" w:cs="Times New Roman"/>
          <w:kern w:val="0"/>
          <w:sz w:val="24"/>
          <w:szCs w:val="24"/>
          <w:lang w:eastAsia="el-GR"/>
        </w:rPr>
        <w:t>2.1.</w:t>
      </w:r>
      <w:r w:rsidRPr="0004168B">
        <w:rPr>
          <w:rFonts w:ascii="Times New Roman" w:eastAsia="Times New Roman" w:hAnsi="Times New Roman" w:cs="Times New Roman"/>
          <w:b/>
          <w:bCs/>
          <w:kern w:val="0"/>
          <w:sz w:val="24"/>
          <w:szCs w:val="24"/>
          <w:lang w:eastAsia="el-GR"/>
        </w:rPr>
        <w:t xml:space="preserve"> Ο Συντελεστής Είδους Βιομάζας (S</w:t>
      </w:r>
      <w:r w:rsidRPr="0004168B">
        <w:rPr>
          <w:rFonts w:ascii="Times New Roman" w:eastAsia="Times New Roman" w:hAnsi="Times New Roman" w:cs="Times New Roman"/>
          <w:b/>
          <w:bCs/>
          <w:kern w:val="0"/>
          <w:sz w:val="24"/>
          <w:szCs w:val="24"/>
          <w:vertAlign w:val="subscript"/>
          <w:lang w:val="en-US" w:eastAsia="el-GR"/>
        </w:rPr>
        <w:t>B</w:t>
      </w:r>
      <w:r w:rsidRPr="0004168B">
        <w:rPr>
          <w:rFonts w:ascii="Times New Roman" w:eastAsia="Times New Roman" w:hAnsi="Times New Roman" w:cs="Times New Roman"/>
          <w:b/>
          <w:bCs/>
          <w:kern w:val="0"/>
          <w:sz w:val="24"/>
          <w:szCs w:val="24"/>
          <w:lang w:eastAsia="el-GR"/>
        </w:rPr>
        <w:t xml:space="preserve">) </w:t>
      </w:r>
      <w:r w:rsidRPr="0004168B">
        <w:rPr>
          <w:rFonts w:ascii="Times New Roman" w:hAnsi="Times New Roman" w:cs="Times New Roman"/>
          <w:sz w:val="24"/>
          <w:szCs w:val="24"/>
        </w:rPr>
        <w:t xml:space="preserve">ταξινομεί τα προϊόντα βιομάζας, ανάλογα με την δυσκολία παραγωγής, την ποιότητα, τη χρήση την εμπορική τους αξία και τη συμβολή τους στη βιώσιμη διαχείριση των φυσικών πόρων. Ο συντελεστής μειώνεται όσο αυξάνεται η εμπορική αξία του προϊόντος, ώστε να δημιουργούνται κίνητρα για την όσο το δυνατόν μεγαλύτερη απόληψη των λιγότερο εμπορικών προϊόντων, με στόχο την ενίσχυση της προστασίας των δασών. </w:t>
      </w:r>
    </w:p>
    <w:p w:rsidR="0004168B" w:rsidRPr="0004168B" w:rsidRDefault="0004168B" w:rsidP="0004168B">
      <w:pPr>
        <w:spacing w:before="100" w:beforeAutospacing="1" w:after="100" w:afterAutospacing="1" w:line="360" w:lineRule="auto"/>
        <w:jc w:val="both"/>
        <w:rPr>
          <w:rFonts w:ascii="Times New Roman" w:hAnsi="Times New Roman" w:cs="Times New Roman"/>
          <w:sz w:val="24"/>
          <w:szCs w:val="24"/>
        </w:rPr>
      </w:pPr>
      <w:r w:rsidRPr="0004168B">
        <w:rPr>
          <w:rFonts w:ascii="Times New Roman" w:hAnsi="Times New Roman" w:cs="Times New Roman"/>
          <w:sz w:val="24"/>
          <w:szCs w:val="24"/>
        </w:rPr>
        <w:t>Τα παραγόμενα προϊόντα βιομάζας περιλαμβάνονται στα είδη και τις κατηγορίες του ισχύοντος Πίνακα Διατίμησης Δασικών Προϊόντων και ταξινομούνται σε έξι κατηγορίες ποιότητας, σύμφωνα με το ΠΑΡΑΡΤΗΜΑ Α της παρούσας απόφασης.</w:t>
      </w:r>
    </w:p>
    <w:p w:rsidR="0004168B" w:rsidRPr="0004168B" w:rsidRDefault="0004168B" w:rsidP="3ACE74B1">
      <w:pPr>
        <w:spacing w:before="100" w:beforeAutospacing="1" w:after="100" w:afterAutospacing="1" w:line="360" w:lineRule="auto"/>
        <w:contextualSpacing/>
        <w:jc w:val="both"/>
        <w:rPr>
          <w:rFonts w:ascii="Times New Roman" w:hAnsi="Times New Roman" w:cs="Times New Roman"/>
          <w:sz w:val="24"/>
          <w:szCs w:val="24"/>
        </w:rPr>
      </w:pPr>
      <w:r w:rsidRPr="0004168B">
        <w:rPr>
          <w:rFonts w:ascii="Times New Roman" w:eastAsia="Times New Roman" w:hAnsi="Times New Roman" w:cs="Times New Roman"/>
          <w:kern w:val="0"/>
          <w:sz w:val="24"/>
          <w:szCs w:val="24"/>
          <w:lang w:eastAsia="el-GR"/>
        </w:rPr>
        <w:t xml:space="preserve">2.2 Ο </w:t>
      </w:r>
      <w:r w:rsidRPr="0004168B">
        <w:rPr>
          <w:rFonts w:ascii="Times New Roman" w:eastAsia="Times New Roman" w:hAnsi="Times New Roman" w:cs="Times New Roman"/>
          <w:b/>
          <w:bCs/>
          <w:kern w:val="0"/>
          <w:sz w:val="24"/>
          <w:szCs w:val="24"/>
          <w:lang w:eastAsia="el-GR"/>
        </w:rPr>
        <w:t>Συντελεστής Δυσκολίας Διαχείρισης (S</w:t>
      </w:r>
      <w:r w:rsidRPr="0004168B">
        <w:rPr>
          <w:rFonts w:ascii="Times New Roman" w:eastAsia="Times New Roman" w:hAnsi="Times New Roman" w:cs="Times New Roman"/>
          <w:b/>
          <w:bCs/>
          <w:kern w:val="0"/>
          <w:sz w:val="24"/>
          <w:szCs w:val="24"/>
          <w:vertAlign w:val="subscript"/>
          <w:lang w:val="en-US" w:eastAsia="el-GR"/>
        </w:rPr>
        <w:t>D</w:t>
      </w:r>
      <w:r w:rsidRPr="0004168B">
        <w:rPr>
          <w:rFonts w:ascii="Times New Roman" w:eastAsia="Times New Roman" w:hAnsi="Times New Roman" w:cs="Times New Roman"/>
          <w:b/>
          <w:bCs/>
          <w:kern w:val="0"/>
          <w:sz w:val="24"/>
          <w:szCs w:val="24"/>
          <w:lang w:eastAsia="el-GR"/>
        </w:rPr>
        <w:t>) ε</w:t>
      </w:r>
      <w:r w:rsidRPr="0004168B">
        <w:rPr>
          <w:rFonts w:ascii="Times New Roman" w:eastAsia="Times New Roman" w:hAnsi="Times New Roman" w:cs="Times New Roman"/>
          <w:kern w:val="0"/>
          <w:sz w:val="24"/>
          <w:szCs w:val="24"/>
          <w:lang w:eastAsia="el-GR"/>
        </w:rPr>
        <w:t xml:space="preserve">κτιμά την πολυπλοκότητα της διαχείρισης του δάσους ή της διαχειριστικής μονάδας, σύμφωνα με τα ιδιαίτερα χαρακτηριστικά όπως η τοπογραφία, η πρόσβαση, οι περιβαλλοντικοί περιορισμοί, η έκταση, οι κλιματικές συνθήκες, κλπ και βασίζεται στις εισηγήσεις των περιφερειακών Δασικών Υπηρεσιών. </w:t>
      </w:r>
      <w:r w:rsidRPr="0004168B">
        <w:rPr>
          <w:rFonts w:ascii="Times New Roman" w:hAnsi="Times New Roman" w:cs="Times New Roman"/>
          <w:sz w:val="24"/>
          <w:szCs w:val="24"/>
        </w:rPr>
        <w:t>Ο Συντελεστής Δυσκολίας Διαχείρισης</w:t>
      </w:r>
      <w:r w:rsidRPr="0004168B">
        <w:rPr>
          <w:rFonts w:ascii="Times New Roman" w:hAnsi="Times New Roman" w:cs="Times New Roman"/>
          <w:b/>
          <w:bCs/>
          <w:sz w:val="24"/>
          <w:szCs w:val="24"/>
        </w:rPr>
        <w:t xml:space="preserve"> </w:t>
      </w:r>
      <w:r w:rsidRPr="0004168B">
        <w:rPr>
          <w:rFonts w:ascii="Times New Roman" w:hAnsi="Times New Roman" w:cs="Times New Roman"/>
          <w:sz w:val="24"/>
          <w:szCs w:val="24"/>
        </w:rPr>
        <w:t xml:space="preserve">αυξάνεται σε περιοχές και συνθήκες που απαιτούν μεγαλύτερη προσπάθεια ή έχουν αυξημένο περιβαλλοντικό κίνδυνο. </w:t>
      </w:r>
    </w:p>
    <w:p w:rsidR="3ACE74B1" w:rsidRDefault="3ACE74B1" w:rsidP="3ACE74B1">
      <w:pPr>
        <w:spacing w:beforeAutospacing="1" w:afterAutospacing="1" w:line="360" w:lineRule="auto"/>
        <w:contextualSpacing/>
        <w:jc w:val="both"/>
        <w:rPr>
          <w:rFonts w:ascii="Times New Roman" w:hAnsi="Times New Roman" w:cs="Times New Roman"/>
          <w:sz w:val="24"/>
          <w:szCs w:val="24"/>
        </w:rPr>
      </w:pPr>
    </w:p>
    <w:p w:rsidR="0004168B" w:rsidRPr="0004168B" w:rsidRDefault="0004168B" w:rsidP="0004168B">
      <w:pPr>
        <w:spacing w:before="100" w:beforeAutospacing="1" w:after="100" w:afterAutospacing="1" w:line="360" w:lineRule="auto"/>
        <w:jc w:val="both"/>
        <w:rPr>
          <w:rFonts w:ascii="Times New Roman" w:hAnsi="Times New Roman" w:cs="Times New Roman"/>
          <w:b/>
          <w:bCs/>
          <w:sz w:val="24"/>
          <w:szCs w:val="24"/>
        </w:rPr>
      </w:pPr>
      <w:r w:rsidRPr="0004168B">
        <w:rPr>
          <w:rFonts w:ascii="Times New Roman" w:hAnsi="Times New Roman" w:cs="Times New Roman"/>
          <w:sz w:val="24"/>
          <w:szCs w:val="24"/>
        </w:rPr>
        <w:lastRenderedPageBreak/>
        <w:t xml:space="preserve">3. </w:t>
      </w:r>
      <w:r w:rsidRPr="0004168B">
        <w:rPr>
          <w:rFonts w:ascii="Times New Roman" w:hAnsi="Times New Roman" w:cs="Times New Roman"/>
          <w:b/>
          <w:bCs/>
          <w:sz w:val="24"/>
          <w:szCs w:val="24"/>
        </w:rPr>
        <w:t>Υπολογισμός Επιδότησης</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Ο υπολογισμός της επιδότησης γίνεται με τον μαθηματικό τύπο:</w:t>
      </w:r>
    </w:p>
    <w:p w:rsidR="0004168B" w:rsidRPr="0004168B" w:rsidRDefault="0004168B" w:rsidP="0004168B">
      <w:pPr>
        <w:spacing w:line="360" w:lineRule="auto"/>
        <w:jc w:val="both"/>
        <w:rPr>
          <w:rFonts w:ascii="Times New Roman" w:hAnsi="Times New Roman" w:cs="Times New Roman"/>
          <w:b/>
          <w:bCs/>
          <w:sz w:val="24"/>
          <w:szCs w:val="24"/>
          <w:vertAlign w:val="subscript"/>
        </w:rPr>
      </w:pPr>
      <w:r w:rsidRPr="0004168B">
        <w:rPr>
          <w:rFonts w:ascii="Times New Roman" w:hAnsi="Times New Roman" w:cs="Times New Roman"/>
          <w:b/>
          <w:bCs/>
          <w:sz w:val="24"/>
          <w:szCs w:val="24"/>
        </w:rPr>
        <w:t>E=R</w:t>
      </w:r>
      <w:r w:rsidRPr="0004168B">
        <w:rPr>
          <w:rFonts w:ascii="Cambria Math" w:hAnsi="Cambria Math" w:cs="Cambria Math"/>
          <w:b/>
          <w:bCs/>
          <w:sz w:val="24"/>
          <w:szCs w:val="24"/>
        </w:rPr>
        <w:t>⋅</w:t>
      </w:r>
      <w:r w:rsidRPr="0004168B">
        <w:rPr>
          <w:rFonts w:ascii="Times New Roman" w:hAnsi="Times New Roman" w:cs="Times New Roman"/>
          <w:b/>
          <w:bCs/>
          <w:sz w:val="24"/>
          <w:szCs w:val="24"/>
        </w:rPr>
        <w:t>S</w:t>
      </w:r>
      <w:r w:rsidRPr="0004168B">
        <w:rPr>
          <w:rFonts w:ascii="Times New Roman" w:hAnsi="Times New Roman" w:cs="Times New Roman"/>
          <w:b/>
          <w:bCs/>
          <w:sz w:val="24"/>
          <w:szCs w:val="24"/>
          <w:vertAlign w:val="subscript"/>
          <w:lang w:val="en-US"/>
        </w:rPr>
        <w:t>B</w:t>
      </w:r>
      <w:proofErr w:type="spellStart"/>
      <w:r w:rsidRPr="0004168B">
        <w:rPr>
          <w:rFonts w:ascii="Cambria Math" w:hAnsi="Cambria Math" w:cs="Cambria Math"/>
          <w:b/>
          <w:bCs/>
          <w:sz w:val="24"/>
          <w:szCs w:val="24"/>
        </w:rPr>
        <w:t>⋅</w:t>
      </w:r>
      <w:r w:rsidRPr="0004168B">
        <w:rPr>
          <w:rFonts w:ascii="Times New Roman" w:hAnsi="Times New Roman" w:cs="Times New Roman"/>
          <w:b/>
          <w:bCs/>
          <w:sz w:val="24"/>
          <w:szCs w:val="24"/>
        </w:rPr>
        <w:t>S</w:t>
      </w:r>
      <w:proofErr w:type="spellEnd"/>
      <w:r w:rsidRPr="0004168B">
        <w:rPr>
          <w:rFonts w:ascii="Times New Roman" w:hAnsi="Times New Roman" w:cs="Times New Roman"/>
          <w:b/>
          <w:bCs/>
          <w:sz w:val="24"/>
          <w:szCs w:val="24"/>
          <w:vertAlign w:val="subscript"/>
          <w:lang w:val="en-US"/>
        </w:rPr>
        <w:t>D</w:t>
      </w:r>
      <w:r w:rsidRPr="0004168B">
        <w:rPr>
          <w:rFonts w:ascii="Cambria Math" w:hAnsi="Cambria Math" w:cs="Cambria Math"/>
          <w:b/>
          <w:bCs/>
          <w:sz w:val="24"/>
          <w:szCs w:val="24"/>
        </w:rPr>
        <w:t>⋅</w:t>
      </w:r>
      <w:r w:rsidRPr="0004168B">
        <w:rPr>
          <w:rFonts w:ascii="Times New Roman" w:hAnsi="Times New Roman" w:cs="Times New Roman"/>
          <w:b/>
          <w:bCs/>
          <w:sz w:val="24"/>
          <w:szCs w:val="24"/>
        </w:rPr>
        <w:t xml:space="preserve"> Χ%</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Όπου:</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b/>
          <w:bCs/>
          <w:sz w:val="24"/>
          <w:szCs w:val="24"/>
        </w:rPr>
        <w:t>E:</w:t>
      </w:r>
      <w:r w:rsidRPr="0004168B">
        <w:rPr>
          <w:rFonts w:ascii="Times New Roman" w:hAnsi="Times New Roman" w:cs="Times New Roman"/>
          <w:sz w:val="24"/>
          <w:szCs w:val="24"/>
        </w:rPr>
        <w:t xml:space="preserve"> Συνολική επιδότηση (€).</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b/>
          <w:bCs/>
          <w:sz w:val="24"/>
          <w:szCs w:val="24"/>
        </w:rPr>
        <w:t>R:</w:t>
      </w:r>
      <w:r w:rsidRPr="0004168B">
        <w:rPr>
          <w:rFonts w:ascii="Times New Roman" w:hAnsi="Times New Roman" w:cs="Times New Roman"/>
          <w:sz w:val="24"/>
          <w:szCs w:val="24"/>
        </w:rPr>
        <w:t xml:space="preserve"> Έσοδα από την πώληση της βιομάζας (€).</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b/>
          <w:bCs/>
          <w:sz w:val="24"/>
          <w:szCs w:val="24"/>
        </w:rPr>
        <w:t>S</w:t>
      </w:r>
      <w:r w:rsidRPr="0004168B">
        <w:rPr>
          <w:rFonts w:ascii="Times New Roman" w:hAnsi="Times New Roman" w:cs="Times New Roman"/>
          <w:b/>
          <w:bCs/>
          <w:sz w:val="24"/>
          <w:szCs w:val="24"/>
          <w:vertAlign w:val="subscript"/>
          <w:lang w:val="en-US"/>
        </w:rPr>
        <w:t>B</w:t>
      </w:r>
      <w:r w:rsidRPr="0004168B">
        <w:rPr>
          <w:rFonts w:ascii="Times New Roman" w:hAnsi="Times New Roman" w:cs="Times New Roman"/>
          <w:b/>
          <w:bCs/>
          <w:sz w:val="24"/>
          <w:szCs w:val="24"/>
        </w:rPr>
        <w:t>:</w:t>
      </w:r>
      <w:r w:rsidRPr="0004168B">
        <w:rPr>
          <w:rFonts w:ascii="Times New Roman" w:hAnsi="Times New Roman" w:cs="Times New Roman"/>
          <w:sz w:val="24"/>
          <w:szCs w:val="24"/>
        </w:rPr>
        <w:t xml:space="preserve"> Συντελεστής είδους βιομάζας.</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b/>
          <w:bCs/>
          <w:sz w:val="24"/>
          <w:szCs w:val="24"/>
        </w:rPr>
        <w:t>S</w:t>
      </w:r>
      <w:r w:rsidRPr="0004168B">
        <w:rPr>
          <w:rFonts w:ascii="Times New Roman" w:hAnsi="Times New Roman" w:cs="Times New Roman"/>
          <w:b/>
          <w:bCs/>
          <w:sz w:val="24"/>
          <w:szCs w:val="24"/>
          <w:vertAlign w:val="subscript"/>
          <w:lang w:val="en-US"/>
        </w:rPr>
        <w:t>D</w:t>
      </w:r>
      <w:r w:rsidRPr="0004168B">
        <w:rPr>
          <w:rFonts w:ascii="Times New Roman" w:hAnsi="Times New Roman" w:cs="Times New Roman"/>
          <w:b/>
          <w:bCs/>
          <w:sz w:val="24"/>
          <w:szCs w:val="24"/>
        </w:rPr>
        <w:t>:</w:t>
      </w:r>
      <w:r w:rsidRPr="0004168B">
        <w:rPr>
          <w:rFonts w:ascii="Times New Roman" w:hAnsi="Times New Roman" w:cs="Times New Roman"/>
          <w:sz w:val="24"/>
          <w:szCs w:val="24"/>
        </w:rPr>
        <w:t xml:space="preserve"> Συντελεστής δυσκολίας διαχείρισης.</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 xml:space="preserve">Χ% : ποσοστό για τον υπολογισμό της επιδότησης </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 xml:space="preserve">Το ανωτέρω ποσοστό καθορίζεται για κάθε πρόσκληση, κατόπιν εισήγησης πενταμελούς Επιτροπής που συστήνεται με απόφαση του </w:t>
      </w:r>
      <w:r w:rsidR="6BC38012" w:rsidRPr="0004168B">
        <w:rPr>
          <w:rFonts w:ascii="Times New Roman" w:hAnsi="Times New Roman" w:cs="Times New Roman"/>
          <w:sz w:val="24"/>
          <w:szCs w:val="24"/>
        </w:rPr>
        <w:t>Γενικού Γραμματέα Δασών</w:t>
      </w:r>
      <w:r w:rsidRPr="0004168B">
        <w:rPr>
          <w:rFonts w:ascii="Times New Roman" w:hAnsi="Times New Roman" w:cs="Times New Roman"/>
          <w:sz w:val="24"/>
          <w:szCs w:val="24"/>
        </w:rPr>
        <w:t xml:space="preserve">, με τριετή διάρκεια και θα αποτελείται από τον </w:t>
      </w:r>
      <w:r w:rsidR="5355C64A" w:rsidRPr="0004168B">
        <w:rPr>
          <w:rFonts w:ascii="Times New Roman" w:hAnsi="Times New Roman" w:cs="Times New Roman"/>
          <w:sz w:val="24"/>
          <w:szCs w:val="24"/>
        </w:rPr>
        <w:t xml:space="preserve">Προϊστάμενο της Γενικής Διεύθυνσης </w:t>
      </w:r>
      <w:r w:rsidRPr="0004168B">
        <w:rPr>
          <w:rFonts w:ascii="Times New Roman" w:hAnsi="Times New Roman" w:cs="Times New Roman"/>
          <w:sz w:val="24"/>
          <w:szCs w:val="24"/>
        </w:rPr>
        <w:t>Δασών και Δασικού Περιβάλλοντος ή τον αναπληρωτή του, έναν Προϊστάμενο Επιθεώρησης Εφαρμογής Δασικής Πολιτικής, τον Προϊστάμενο της Διεύθυνσης Διαχείρισης Δασών ή τον Προϊστάμενο της Διεύθυνσης Προγραμματισμού και Δασικής Πολιτικής</w:t>
      </w:r>
      <w:r w:rsidR="24F9BC3F" w:rsidRPr="0004168B">
        <w:rPr>
          <w:rFonts w:ascii="Times New Roman" w:hAnsi="Times New Roman" w:cs="Times New Roman"/>
          <w:sz w:val="24"/>
          <w:szCs w:val="24"/>
        </w:rPr>
        <w:t xml:space="preserve">  ως Τακτικά Μέλη</w:t>
      </w:r>
      <w:r w:rsidRPr="0004168B">
        <w:rPr>
          <w:rFonts w:ascii="Times New Roman" w:hAnsi="Times New Roman" w:cs="Times New Roman"/>
          <w:sz w:val="24"/>
          <w:szCs w:val="24"/>
        </w:rPr>
        <w:t xml:space="preserve">, έναν Πανεπιστημιακό Τμήματος Δασολογίας ή </w:t>
      </w:r>
      <w:r w:rsidR="32C75DB3" w:rsidRPr="0004168B">
        <w:rPr>
          <w:rFonts w:ascii="Times New Roman" w:hAnsi="Times New Roman" w:cs="Times New Roman"/>
          <w:sz w:val="24"/>
          <w:szCs w:val="24"/>
        </w:rPr>
        <w:t>Ε</w:t>
      </w:r>
      <w:r w:rsidRPr="0004168B">
        <w:rPr>
          <w:rFonts w:ascii="Times New Roman" w:hAnsi="Times New Roman" w:cs="Times New Roman"/>
          <w:sz w:val="24"/>
          <w:szCs w:val="24"/>
        </w:rPr>
        <w:t xml:space="preserve">ρευνητή αντίστοιχης ειδικότητας και έναν </w:t>
      </w:r>
      <w:r w:rsidR="03788A38" w:rsidRPr="0004168B">
        <w:rPr>
          <w:rFonts w:ascii="Times New Roman" w:hAnsi="Times New Roman" w:cs="Times New Roman"/>
          <w:sz w:val="24"/>
          <w:szCs w:val="24"/>
        </w:rPr>
        <w:t>Ο</w:t>
      </w:r>
      <w:r w:rsidRPr="0004168B">
        <w:rPr>
          <w:rFonts w:ascii="Times New Roman" w:hAnsi="Times New Roman" w:cs="Times New Roman"/>
          <w:sz w:val="24"/>
          <w:szCs w:val="24"/>
        </w:rPr>
        <w:t>ικονομολόγο</w:t>
      </w:r>
      <w:r w:rsidR="16F77102" w:rsidRPr="0004168B">
        <w:rPr>
          <w:rFonts w:ascii="Times New Roman" w:hAnsi="Times New Roman" w:cs="Times New Roman"/>
          <w:sz w:val="24"/>
          <w:szCs w:val="24"/>
        </w:rPr>
        <w:t xml:space="preserve"> Πανεπιστημιακής Εκπαίδευσης</w:t>
      </w:r>
      <w:r w:rsidR="0C58F88E" w:rsidRPr="3ACE74B1">
        <w:rPr>
          <w:rFonts w:ascii="Times New Roman" w:hAnsi="Times New Roman" w:cs="Times New Roman"/>
          <w:sz w:val="24"/>
          <w:szCs w:val="24"/>
        </w:rPr>
        <w:t xml:space="preserve"> με τους αναπληρωτές τους</w:t>
      </w:r>
      <w:r w:rsidRPr="0004168B">
        <w:rPr>
          <w:rFonts w:ascii="Times New Roman" w:hAnsi="Times New Roman" w:cs="Times New Roman"/>
          <w:sz w:val="24"/>
          <w:szCs w:val="24"/>
        </w:rPr>
        <w:t>.</w:t>
      </w:r>
    </w:p>
    <w:p w:rsidR="0004168B" w:rsidRPr="0004168B" w:rsidRDefault="0004168B" w:rsidP="0004168B">
      <w:pPr>
        <w:spacing w:line="360" w:lineRule="auto"/>
        <w:jc w:val="both"/>
        <w:rPr>
          <w:rFonts w:ascii="Times New Roman" w:hAnsi="Times New Roman" w:cs="Times New Roman"/>
          <w:sz w:val="24"/>
          <w:szCs w:val="24"/>
        </w:rPr>
      </w:pP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04168B">
        <w:rPr>
          <w:rFonts w:ascii="Times New Roman" w:eastAsia="Times New Roman" w:hAnsi="Times New Roman" w:cs="Times New Roman"/>
          <w:b/>
          <w:bCs/>
          <w:color w:val="000000"/>
          <w:kern w:val="0"/>
          <w:sz w:val="24"/>
          <w:szCs w:val="24"/>
          <w:lang w:eastAsia="el-GR"/>
        </w:rPr>
        <w:t>Άρθρο 3</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04168B">
        <w:rPr>
          <w:rFonts w:ascii="Times New Roman" w:eastAsia="Times New Roman" w:hAnsi="Times New Roman" w:cs="Times New Roman"/>
          <w:b/>
          <w:bCs/>
          <w:color w:val="000000"/>
          <w:kern w:val="0"/>
          <w:sz w:val="24"/>
          <w:szCs w:val="24"/>
          <w:lang w:eastAsia="el-GR"/>
        </w:rPr>
        <w:t>Διαδικασία  Καταβολής της Επιδότησης</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04168B" w:rsidRPr="0004168B" w:rsidRDefault="0004168B" w:rsidP="0004168B">
      <w:pPr>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1. Το ύψος της επιδότησης ορίζεται στην πρόσκληση για την συμμετοχή στην διαδικασία ανάθεσης της υλοποίησης της διαχείρισης και της εκμετάλλευσης δημοσίων δασών ή διαχειριστικών μονάδων που εκδίδεται από τον Υπουργό Περιβάλλοντος και Ενέργειας, σύμφωνα με τις διατάξεις του άρθρου 21 του ν. 5106/2024 </w:t>
      </w:r>
      <w:r w:rsidRPr="0004168B">
        <w:rPr>
          <w:rFonts w:ascii="Times New Roman" w:hAnsi="Times New Roman" w:cs="Times New Roman"/>
          <w:sz w:val="24"/>
          <w:szCs w:val="24"/>
        </w:rPr>
        <w:t>(Α΄ 63)</w:t>
      </w:r>
      <w:r w:rsidRPr="0004168B">
        <w:rPr>
          <w:rFonts w:ascii="Times New Roman" w:eastAsia="Times New Roman" w:hAnsi="Times New Roman" w:cs="Times New Roman"/>
          <w:color w:val="000000"/>
          <w:kern w:val="0"/>
          <w:sz w:val="24"/>
          <w:szCs w:val="24"/>
          <w:lang w:eastAsia="el-GR"/>
        </w:rPr>
        <w:t xml:space="preserve"> και  δεν μεταβάλλεται μέχρι τη λήξη της διάρκειας της ανάθεσης.</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2. Η επιδότηση καταβάλλεται στους φορείς του άρθρου 1 της παρούσας, κατόπιν ελέγχου και πιστοποίησης της </w:t>
      </w:r>
      <w:proofErr w:type="spellStart"/>
      <w:r w:rsidRPr="0004168B">
        <w:rPr>
          <w:rFonts w:ascii="Times New Roman" w:eastAsia="Times New Roman" w:hAnsi="Times New Roman" w:cs="Times New Roman"/>
          <w:color w:val="000000"/>
          <w:kern w:val="0"/>
          <w:sz w:val="24"/>
          <w:szCs w:val="24"/>
          <w:lang w:eastAsia="el-GR"/>
        </w:rPr>
        <w:t>αποληφθείσας</w:t>
      </w:r>
      <w:proofErr w:type="spellEnd"/>
      <w:r w:rsidRPr="0004168B">
        <w:rPr>
          <w:rFonts w:ascii="Times New Roman" w:eastAsia="Times New Roman" w:hAnsi="Times New Roman" w:cs="Times New Roman"/>
          <w:color w:val="000000"/>
          <w:kern w:val="0"/>
          <w:sz w:val="24"/>
          <w:szCs w:val="24"/>
          <w:lang w:eastAsia="el-GR"/>
        </w:rPr>
        <w:t xml:space="preserve"> βιομάζας.</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04168B">
        <w:rPr>
          <w:rFonts w:ascii="Times New Roman" w:eastAsia="Times New Roman" w:hAnsi="Times New Roman" w:cs="Times New Roman"/>
          <w:b/>
          <w:bCs/>
          <w:color w:val="000000"/>
          <w:kern w:val="0"/>
          <w:sz w:val="24"/>
          <w:szCs w:val="24"/>
          <w:lang w:eastAsia="el-GR"/>
        </w:rPr>
        <w:t>Άρθρο 4</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Στην παρούσα Απόφαση προσαρτώνται, ως αναπόσπαστο μέρος της, ΠΑΡΑΡΤΗΜΑΤΑ Α και Β σχετικά με τους Συντελεστές Είδους Βιομάζας και Δυσκολίας Διαχείρισης.</w:t>
      </w:r>
    </w:p>
    <w:p w:rsidR="0004168B" w:rsidRPr="0004168B" w:rsidRDefault="0004168B" w:rsidP="00041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kern w:val="0"/>
          <w:sz w:val="24"/>
          <w:szCs w:val="24"/>
          <w:lang w:eastAsia="el-GR"/>
        </w:rPr>
      </w:pPr>
    </w:p>
    <w:p w:rsidR="0004168B" w:rsidRPr="0004168B" w:rsidRDefault="0004168B" w:rsidP="00041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04168B">
        <w:rPr>
          <w:rFonts w:ascii="Times New Roman" w:eastAsia="Times New Roman" w:hAnsi="Times New Roman" w:cs="Times New Roman"/>
          <w:b/>
          <w:bCs/>
          <w:color w:val="000000"/>
          <w:kern w:val="0"/>
          <w:sz w:val="24"/>
          <w:szCs w:val="24"/>
          <w:lang w:eastAsia="el-GR"/>
        </w:rPr>
        <w:t>Άρθρο 5</w:t>
      </w:r>
    </w:p>
    <w:p w:rsidR="0004168B" w:rsidRPr="0004168B" w:rsidRDefault="0004168B" w:rsidP="00041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000000"/>
          <w:kern w:val="0"/>
          <w:sz w:val="24"/>
          <w:szCs w:val="24"/>
          <w:lang w:eastAsia="el-GR"/>
        </w:rPr>
      </w:pPr>
      <w:r w:rsidRPr="0004168B">
        <w:rPr>
          <w:rFonts w:ascii="Times New Roman" w:eastAsia="Times New Roman" w:hAnsi="Times New Roman" w:cs="Times New Roman"/>
          <w:b/>
          <w:bCs/>
          <w:color w:val="000000"/>
          <w:kern w:val="0"/>
          <w:sz w:val="24"/>
          <w:szCs w:val="24"/>
          <w:lang w:eastAsia="el-GR"/>
        </w:rPr>
        <w:t>Έναρξη Ισχύος</w:t>
      </w:r>
    </w:p>
    <w:p w:rsidR="0004168B" w:rsidRPr="0004168B" w:rsidRDefault="0004168B" w:rsidP="00041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eastAsia="el-GR"/>
        </w:rPr>
      </w:pPr>
      <w:r w:rsidRPr="0004168B">
        <w:rPr>
          <w:rFonts w:ascii="Times New Roman" w:eastAsia="Times New Roman" w:hAnsi="Times New Roman" w:cs="Times New Roman"/>
          <w:color w:val="000000"/>
          <w:kern w:val="0"/>
          <w:sz w:val="24"/>
          <w:szCs w:val="24"/>
          <w:lang w:eastAsia="el-GR"/>
        </w:rPr>
        <w:t xml:space="preserve">Η παρούσα ισχύει από τη δημοσίευσή της στη Εφημερίδα της Κυβερνήσεως. </w:t>
      </w:r>
    </w:p>
    <w:p w:rsidR="0004168B" w:rsidRPr="0004168B" w:rsidRDefault="0004168B" w:rsidP="0004168B">
      <w:pPr>
        <w:rPr>
          <w:rFonts w:ascii="Times New Roman" w:hAnsi="Times New Roman" w:cs="Times New Roman"/>
          <w:sz w:val="24"/>
          <w:szCs w:val="24"/>
        </w:rPr>
      </w:pPr>
      <w:r w:rsidRPr="0004168B">
        <w:rPr>
          <w:rFonts w:ascii="Times New Roman" w:hAnsi="Times New Roman" w:cs="Times New Roman"/>
          <w:sz w:val="24"/>
          <w:szCs w:val="24"/>
        </w:rPr>
        <w:t>Η παρούσα να δημοσιευθεί στην Εφημερίδα της Κυβερνήσεως.</w:t>
      </w:r>
    </w:p>
    <w:p w:rsidR="0004168B" w:rsidRPr="0004168B" w:rsidRDefault="0004168B" w:rsidP="0004168B">
      <w:pPr>
        <w:rPr>
          <w:rFonts w:ascii="Times New Roman" w:hAnsi="Times New Roman" w:cs="Times New Roman"/>
          <w:sz w:val="24"/>
          <w:szCs w:val="24"/>
        </w:rPr>
      </w:pPr>
    </w:p>
    <w:p w:rsidR="0004168B" w:rsidRPr="0004168B" w:rsidRDefault="0004168B" w:rsidP="0004168B">
      <w:pPr>
        <w:jc w:val="center"/>
        <w:rPr>
          <w:rFonts w:ascii="Times New Roman" w:hAnsi="Times New Roman" w:cs="Times New Roman"/>
          <w:sz w:val="24"/>
          <w:szCs w:val="24"/>
        </w:rPr>
      </w:pPr>
      <w:r w:rsidRPr="0004168B">
        <w:rPr>
          <w:rFonts w:ascii="Times New Roman" w:hAnsi="Times New Roman" w:cs="Times New Roman"/>
          <w:sz w:val="24"/>
          <w:szCs w:val="24"/>
        </w:rPr>
        <w:t>Αθήνα, … Μαρτίου 2025</w:t>
      </w:r>
    </w:p>
    <w:p w:rsidR="0004168B" w:rsidRPr="0004168B" w:rsidRDefault="0004168B" w:rsidP="0004168B">
      <w:pPr>
        <w:jc w:val="center"/>
        <w:rPr>
          <w:rFonts w:ascii="Times New Roman" w:hAnsi="Times New Roman" w:cs="Times New Roman"/>
          <w:sz w:val="24"/>
          <w:szCs w:val="24"/>
        </w:rPr>
      </w:pPr>
      <w:r w:rsidRPr="0004168B">
        <w:rPr>
          <w:rFonts w:ascii="Times New Roman" w:hAnsi="Times New Roman" w:cs="Times New Roman"/>
          <w:sz w:val="24"/>
          <w:szCs w:val="24"/>
        </w:rPr>
        <w:t>Ο Υπουργός Περιβάλλοντος και Ενέργειας</w:t>
      </w:r>
    </w:p>
    <w:p w:rsidR="0004168B" w:rsidRPr="0004168B" w:rsidRDefault="0004168B" w:rsidP="0004168B">
      <w:pPr>
        <w:jc w:val="center"/>
        <w:rPr>
          <w:rFonts w:ascii="Times New Roman" w:hAnsi="Times New Roman" w:cs="Times New Roman"/>
          <w:sz w:val="24"/>
          <w:szCs w:val="24"/>
        </w:rPr>
      </w:pPr>
    </w:p>
    <w:p w:rsidR="0004168B" w:rsidRPr="0004168B" w:rsidRDefault="0004168B" w:rsidP="0004168B">
      <w:pPr>
        <w:jc w:val="center"/>
        <w:rPr>
          <w:rFonts w:ascii="Times New Roman" w:hAnsi="Times New Roman" w:cs="Times New Roman"/>
          <w:sz w:val="24"/>
          <w:szCs w:val="24"/>
        </w:rPr>
      </w:pPr>
    </w:p>
    <w:p w:rsidR="0004168B" w:rsidRPr="0004168B" w:rsidRDefault="0004168B" w:rsidP="0004168B">
      <w:pPr>
        <w:jc w:val="center"/>
        <w:rPr>
          <w:rFonts w:ascii="Times New Roman" w:hAnsi="Times New Roman" w:cs="Times New Roman"/>
          <w:sz w:val="24"/>
          <w:szCs w:val="24"/>
        </w:rPr>
      </w:pPr>
      <w:r w:rsidRPr="0004168B">
        <w:rPr>
          <w:rFonts w:ascii="Times New Roman" w:hAnsi="Times New Roman" w:cs="Times New Roman"/>
          <w:sz w:val="24"/>
          <w:szCs w:val="24"/>
        </w:rPr>
        <w:t>ΘΕΟΔΩΡΟΣ ΣΚΥΛΑΚΑΚΗΣ</w:t>
      </w:r>
    </w:p>
    <w:p w:rsidR="0004168B" w:rsidRPr="0004168B" w:rsidRDefault="0004168B" w:rsidP="0004168B">
      <w:pPr>
        <w:spacing w:line="360" w:lineRule="auto"/>
        <w:jc w:val="both"/>
        <w:rPr>
          <w:rFonts w:ascii="Times New Roman" w:hAnsi="Times New Roman" w:cs="Times New Roman"/>
          <w:sz w:val="24"/>
          <w:szCs w:val="24"/>
        </w:rPr>
      </w:pPr>
    </w:p>
    <w:p w:rsidR="0004168B" w:rsidRPr="0004168B" w:rsidRDefault="0004168B" w:rsidP="0004168B">
      <w:pPr>
        <w:spacing w:line="360" w:lineRule="auto"/>
        <w:rPr>
          <w:rFonts w:ascii="Times New Roman" w:hAnsi="Times New Roman" w:cs="Times New Roman"/>
          <w:sz w:val="24"/>
          <w:szCs w:val="24"/>
        </w:rPr>
      </w:pPr>
      <w:r w:rsidRPr="0004168B">
        <w:rPr>
          <w:rFonts w:ascii="Times New Roman" w:hAnsi="Times New Roman" w:cs="Times New Roman"/>
          <w:sz w:val="24"/>
          <w:szCs w:val="24"/>
        </w:rPr>
        <w:br w:type="page"/>
      </w:r>
    </w:p>
    <w:p w:rsidR="0004168B" w:rsidRPr="0004168B" w:rsidRDefault="0004168B" w:rsidP="0004168B">
      <w:pPr>
        <w:spacing w:before="100" w:beforeAutospacing="1" w:after="100" w:afterAutospacing="1" w:line="360" w:lineRule="auto"/>
        <w:jc w:val="center"/>
        <w:rPr>
          <w:rFonts w:ascii="Times New Roman" w:eastAsia="Times New Roman" w:hAnsi="Times New Roman" w:cs="Times New Roman"/>
          <w:b/>
          <w:bCs/>
          <w:kern w:val="0"/>
          <w:sz w:val="24"/>
          <w:szCs w:val="24"/>
          <w:lang w:eastAsia="el-GR"/>
        </w:rPr>
      </w:pPr>
      <w:r w:rsidRPr="0004168B">
        <w:rPr>
          <w:rFonts w:ascii="Times New Roman" w:eastAsia="Times New Roman" w:hAnsi="Times New Roman" w:cs="Times New Roman"/>
          <w:b/>
          <w:bCs/>
          <w:kern w:val="0"/>
          <w:sz w:val="24"/>
          <w:szCs w:val="24"/>
          <w:lang w:eastAsia="el-GR"/>
        </w:rPr>
        <w:lastRenderedPageBreak/>
        <w:t>ΠΑΡΑΡΤΗΜΑ Α</w:t>
      </w:r>
    </w:p>
    <w:p w:rsidR="0004168B" w:rsidRPr="0004168B" w:rsidRDefault="0004168B" w:rsidP="0004168B">
      <w:pPr>
        <w:spacing w:before="100" w:beforeAutospacing="1" w:after="100" w:afterAutospacing="1" w:line="360" w:lineRule="auto"/>
        <w:jc w:val="center"/>
        <w:rPr>
          <w:rFonts w:ascii="Times New Roman" w:eastAsia="Times New Roman" w:hAnsi="Times New Roman" w:cs="Times New Roman"/>
          <w:b/>
          <w:bCs/>
          <w:kern w:val="0"/>
          <w:sz w:val="24"/>
          <w:szCs w:val="24"/>
          <w:lang w:eastAsia="el-GR"/>
        </w:rPr>
      </w:pPr>
      <w:r w:rsidRPr="0004168B">
        <w:rPr>
          <w:rFonts w:ascii="Times New Roman" w:eastAsia="Times New Roman" w:hAnsi="Times New Roman" w:cs="Times New Roman"/>
          <w:b/>
          <w:bCs/>
          <w:kern w:val="0"/>
          <w:sz w:val="24"/>
          <w:szCs w:val="24"/>
          <w:lang w:eastAsia="el-GR"/>
        </w:rPr>
        <w:t>ΣΥΝΤΕΛΕΣΤΗΣ ΕΙΔΟΥΣ ΒΙΟΜΑΖΑΣ</w:t>
      </w:r>
    </w:p>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4"/>
          <w:szCs w:val="24"/>
          <w:lang w:eastAsia="el-GR"/>
        </w:rPr>
      </w:pPr>
      <w:r w:rsidRPr="0004168B">
        <w:rPr>
          <w:rFonts w:ascii="Times New Roman" w:eastAsia="Times New Roman" w:hAnsi="Times New Roman" w:cs="Times New Roman"/>
          <w:b/>
          <w:bCs/>
          <w:kern w:val="0"/>
          <w:sz w:val="24"/>
          <w:szCs w:val="24"/>
          <w:lang w:eastAsia="el-GR"/>
        </w:rPr>
        <w:t>ΠΙΝΑΚΑΣ 1: Κατηγοριοποίηση προϊόντων βιομάζας για τον υπολογισμό του Συντελεστή Είδους Βιομάζας:</w:t>
      </w:r>
    </w:p>
    <w:tbl>
      <w:tblPr>
        <w:tblStyle w:val="aa"/>
        <w:tblW w:w="10655" w:type="dxa"/>
        <w:jc w:val="center"/>
        <w:tblLook w:val="04A0"/>
      </w:tblPr>
      <w:tblGrid>
        <w:gridCol w:w="3278"/>
        <w:gridCol w:w="2954"/>
        <w:gridCol w:w="3119"/>
        <w:gridCol w:w="1304"/>
      </w:tblGrid>
      <w:tr w:rsidR="0004168B" w:rsidRPr="0004168B" w:rsidTr="009435FA">
        <w:trPr>
          <w:trHeight w:val="173"/>
          <w:jc w:val="center"/>
        </w:trPr>
        <w:tc>
          <w:tcPr>
            <w:tcW w:w="3278"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b/>
                <w:bCs/>
                <w:kern w:val="0"/>
                <w:sz w:val="20"/>
                <w:szCs w:val="20"/>
                <w:lang w:eastAsia="el-GR"/>
              </w:rPr>
            </w:pPr>
            <w:r w:rsidRPr="0004168B">
              <w:rPr>
                <w:rFonts w:ascii="Times New Roman" w:eastAsia="Times New Roman" w:hAnsi="Times New Roman" w:cs="Times New Roman"/>
                <w:b/>
                <w:bCs/>
                <w:kern w:val="0"/>
                <w:sz w:val="20"/>
                <w:szCs w:val="20"/>
                <w:lang w:eastAsia="el-GR"/>
              </w:rPr>
              <w:t>Κατηγορίες ποιότητας</w:t>
            </w:r>
          </w:p>
        </w:tc>
        <w:tc>
          <w:tcPr>
            <w:tcW w:w="295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b/>
                <w:bCs/>
                <w:kern w:val="0"/>
                <w:sz w:val="20"/>
                <w:szCs w:val="20"/>
                <w:highlight w:val="cyan"/>
                <w:lang w:eastAsia="el-GR"/>
              </w:rPr>
            </w:pPr>
            <w:r w:rsidRPr="0004168B">
              <w:rPr>
                <w:rFonts w:ascii="Times New Roman" w:eastAsia="Times New Roman" w:hAnsi="Times New Roman" w:cs="Times New Roman"/>
                <w:b/>
                <w:bCs/>
                <w:kern w:val="0"/>
                <w:sz w:val="20"/>
                <w:szCs w:val="20"/>
                <w:lang w:eastAsia="el-GR"/>
              </w:rPr>
              <w:t>Κατηγορίες και είδη Παραχθέντων δασικών προϊόντων, σύμφωνα με  τον ισχύοντα Πίνακα Διατίμησης Δασικών προϊόντων και ανάλογα με την κατηγορία ποιότητας της προηγούμενης στήλης</w:t>
            </w:r>
          </w:p>
        </w:tc>
        <w:tc>
          <w:tcPr>
            <w:tcW w:w="3119"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b/>
                <w:bCs/>
                <w:kern w:val="0"/>
                <w:sz w:val="20"/>
                <w:szCs w:val="20"/>
                <w:lang w:eastAsia="el-GR"/>
              </w:rPr>
            </w:pPr>
            <w:r w:rsidRPr="0004168B">
              <w:rPr>
                <w:rFonts w:ascii="Times New Roman" w:eastAsia="Times New Roman" w:hAnsi="Times New Roman" w:cs="Times New Roman"/>
                <w:b/>
                <w:bCs/>
                <w:kern w:val="0"/>
                <w:sz w:val="20"/>
                <w:szCs w:val="20"/>
                <w:lang w:eastAsia="el-GR"/>
              </w:rPr>
              <w:t>Αξιολόγηση/Χρήση</w:t>
            </w:r>
          </w:p>
        </w:tc>
        <w:tc>
          <w:tcPr>
            <w:tcW w:w="130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b/>
                <w:bCs/>
                <w:kern w:val="0"/>
                <w:sz w:val="20"/>
                <w:szCs w:val="20"/>
                <w:vertAlign w:val="subscript"/>
                <w:lang w:val="en-US" w:eastAsia="el-GR"/>
              </w:rPr>
            </w:pPr>
            <w:r w:rsidRPr="0004168B">
              <w:rPr>
                <w:rFonts w:ascii="Times New Roman" w:eastAsia="Times New Roman" w:hAnsi="Times New Roman" w:cs="Times New Roman"/>
                <w:b/>
                <w:bCs/>
                <w:kern w:val="0"/>
                <w:sz w:val="20"/>
                <w:szCs w:val="20"/>
                <w:lang w:eastAsia="el-GR"/>
              </w:rPr>
              <w:t xml:space="preserve">Βάρος </w:t>
            </w:r>
            <w:proofErr w:type="spellStart"/>
            <w:r w:rsidRPr="0004168B">
              <w:rPr>
                <w:rFonts w:ascii="Times New Roman" w:eastAsia="Times New Roman" w:hAnsi="Times New Roman" w:cs="Times New Roman"/>
                <w:b/>
                <w:bCs/>
                <w:kern w:val="0"/>
                <w:sz w:val="20"/>
                <w:szCs w:val="20"/>
                <w:lang w:eastAsia="el-GR"/>
              </w:rPr>
              <w:t>Wi</w:t>
            </w:r>
            <w:proofErr w:type="spellEnd"/>
          </w:p>
        </w:tc>
      </w:tr>
      <w:tr w:rsidR="0004168B" w:rsidRPr="0004168B" w:rsidTr="009435FA">
        <w:trPr>
          <w:trHeight w:val="198"/>
          <w:jc w:val="center"/>
        </w:trPr>
        <w:tc>
          <w:tcPr>
            <w:tcW w:w="3278"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Υψηλής ποιότητας ξυλεία (τεχνική ξυλεία Α, Β ποιότητας)</w:t>
            </w:r>
          </w:p>
        </w:tc>
        <w:tc>
          <w:tcPr>
            <w:tcW w:w="295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highlight w:val="yellow"/>
                <w:lang w:eastAsia="el-GR"/>
              </w:rPr>
            </w:pPr>
          </w:p>
        </w:tc>
        <w:tc>
          <w:tcPr>
            <w:tcW w:w="3119"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Υψηλή εμπορική αξία, περιορισμένη χρήση για ενέργεια</w:t>
            </w:r>
          </w:p>
        </w:tc>
        <w:tc>
          <w:tcPr>
            <w:tcW w:w="130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val="en-US" w:eastAsia="el-GR"/>
              </w:rPr>
            </w:pPr>
            <w:r w:rsidRPr="0004168B">
              <w:rPr>
                <w:rFonts w:ascii="Times New Roman" w:eastAsia="Times New Roman" w:hAnsi="Times New Roman" w:cs="Times New Roman"/>
                <w:kern w:val="0"/>
                <w:sz w:val="20"/>
                <w:szCs w:val="20"/>
                <w:lang w:val="en-US" w:eastAsia="el-GR"/>
              </w:rPr>
              <w:t>1.0</w:t>
            </w:r>
          </w:p>
        </w:tc>
      </w:tr>
      <w:tr w:rsidR="0004168B" w:rsidRPr="0004168B" w:rsidTr="009435FA">
        <w:trPr>
          <w:trHeight w:val="125"/>
          <w:jc w:val="center"/>
        </w:trPr>
        <w:tc>
          <w:tcPr>
            <w:tcW w:w="3278"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Μέσης ποιότητας ξυλεία (λοιπές κατηγορίες τεχνικής ξυλείας)</w:t>
            </w:r>
          </w:p>
        </w:tc>
        <w:tc>
          <w:tcPr>
            <w:tcW w:w="295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highlight w:val="yellow"/>
                <w:lang w:eastAsia="el-GR"/>
              </w:rPr>
            </w:pPr>
          </w:p>
        </w:tc>
        <w:tc>
          <w:tcPr>
            <w:tcW w:w="3119"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Μέτρια εμπορική αξία, χρήση για βιομηχανικά προϊόντα</w:t>
            </w:r>
          </w:p>
        </w:tc>
        <w:tc>
          <w:tcPr>
            <w:tcW w:w="130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val="en-US" w:eastAsia="el-GR"/>
              </w:rPr>
            </w:pPr>
            <w:r w:rsidRPr="0004168B">
              <w:rPr>
                <w:rFonts w:ascii="Times New Roman" w:eastAsia="Times New Roman" w:hAnsi="Times New Roman" w:cs="Times New Roman"/>
                <w:kern w:val="0"/>
                <w:sz w:val="20"/>
                <w:szCs w:val="20"/>
                <w:lang w:val="en-US" w:eastAsia="el-GR"/>
              </w:rPr>
              <w:t>1.2</w:t>
            </w:r>
          </w:p>
        </w:tc>
      </w:tr>
      <w:tr w:rsidR="0004168B" w:rsidRPr="0004168B" w:rsidTr="009435FA">
        <w:trPr>
          <w:trHeight w:val="188"/>
          <w:jc w:val="center"/>
        </w:trPr>
        <w:tc>
          <w:tcPr>
            <w:tcW w:w="3278"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Χαμηλής ποιότητας ξυλεία (</w:t>
            </w:r>
            <w:proofErr w:type="spellStart"/>
            <w:r w:rsidRPr="0004168B">
              <w:rPr>
                <w:rFonts w:ascii="Times New Roman" w:eastAsia="Times New Roman" w:hAnsi="Times New Roman" w:cs="Times New Roman"/>
                <w:kern w:val="0"/>
                <w:sz w:val="20"/>
                <w:szCs w:val="20"/>
                <w:lang w:eastAsia="el-GR"/>
              </w:rPr>
              <w:t>στρογγύλια</w:t>
            </w:r>
            <w:proofErr w:type="spellEnd"/>
            <w:r w:rsidRPr="0004168B">
              <w:rPr>
                <w:rFonts w:ascii="Times New Roman" w:eastAsia="Times New Roman" w:hAnsi="Times New Roman" w:cs="Times New Roman"/>
                <w:kern w:val="0"/>
                <w:sz w:val="20"/>
                <w:szCs w:val="20"/>
                <w:lang w:eastAsia="el-GR"/>
              </w:rPr>
              <w:t xml:space="preserve">, </w:t>
            </w:r>
            <w:proofErr w:type="spellStart"/>
            <w:r w:rsidRPr="0004168B">
              <w:rPr>
                <w:rFonts w:ascii="Times New Roman" w:eastAsia="Times New Roman" w:hAnsi="Times New Roman" w:cs="Times New Roman"/>
                <w:kern w:val="0"/>
                <w:sz w:val="20"/>
                <w:szCs w:val="20"/>
                <w:lang w:eastAsia="el-GR"/>
              </w:rPr>
              <w:t>σχίζες</w:t>
            </w:r>
            <w:proofErr w:type="spellEnd"/>
            <w:r w:rsidRPr="0004168B">
              <w:rPr>
                <w:rFonts w:ascii="Times New Roman" w:eastAsia="Times New Roman" w:hAnsi="Times New Roman" w:cs="Times New Roman"/>
                <w:kern w:val="0"/>
                <w:sz w:val="20"/>
                <w:szCs w:val="20"/>
                <w:lang w:eastAsia="el-GR"/>
              </w:rPr>
              <w:t>, κλπ)</w:t>
            </w:r>
          </w:p>
        </w:tc>
        <w:tc>
          <w:tcPr>
            <w:tcW w:w="295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highlight w:val="yellow"/>
                <w:lang w:eastAsia="el-GR"/>
              </w:rPr>
            </w:pPr>
          </w:p>
        </w:tc>
        <w:tc>
          <w:tcPr>
            <w:tcW w:w="3119"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Κύρια χρήση για παραγωγή ενέργειας</w:t>
            </w:r>
          </w:p>
        </w:tc>
        <w:tc>
          <w:tcPr>
            <w:tcW w:w="130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val="en-US" w:eastAsia="el-GR"/>
              </w:rPr>
            </w:pPr>
            <w:r w:rsidRPr="0004168B">
              <w:rPr>
                <w:rFonts w:ascii="Times New Roman" w:eastAsia="Times New Roman" w:hAnsi="Times New Roman" w:cs="Times New Roman"/>
                <w:kern w:val="0"/>
                <w:sz w:val="20"/>
                <w:szCs w:val="20"/>
                <w:lang w:val="en-US" w:eastAsia="el-GR"/>
              </w:rPr>
              <w:t>1.4</w:t>
            </w:r>
          </w:p>
        </w:tc>
      </w:tr>
      <w:tr w:rsidR="0004168B" w:rsidRPr="0004168B" w:rsidTr="009435FA">
        <w:trPr>
          <w:trHeight w:val="127"/>
          <w:jc w:val="center"/>
        </w:trPr>
        <w:tc>
          <w:tcPr>
            <w:tcW w:w="3278"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proofErr w:type="spellStart"/>
            <w:r w:rsidRPr="0004168B">
              <w:rPr>
                <w:rFonts w:ascii="Times New Roman" w:eastAsia="Times New Roman" w:hAnsi="Times New Roman" w:cs="Times New Roman"/>
                <w:kern w:val="0"/>
                <w:sz w:val="20"/>
                <w:szCs w:val="20"/>
                <w:lang w:val="en-US" w:eastAsia="el-GR"/>
              </w:rPr>
              <w:t>Στερεά</w:t>
            </w:r>
            <w:proofErr w:type="spellEnd"/>
            <w:r w:rsidRPr="0004168B">
              <w:rPr>
                <w:rFonts w:ascii="Times New Roman" w:eastAsia="Times New Roman" w:hAnsi="Times New Roman" w:cs="Times New Roman"/>
                <w:kern w:val="0"/>
                <w:sz w:val="20"/>
                <w:szCs w:val="20"/>
                <w:lang w:val="en-US" w:eastAsia="el-GR"/>
              </w:rPr>
              <w:t xml:space="preserve"> </w:t>
            </w:r>
            <w:proofErr w:type="spellStart"/>
            <w:r w:rsidRPr="0004168B">
              <w:rPr>
                <w:rFonts w:ascii="Times New Roman" w:eastAsia="Times New Roman" w:hAnsi="Times New Roman" w:cs="Times New Roman"/>
                <w:kern w:val="0"/>
                <w:sz w:val="20"/>
                <w:szCs w:val="20"/>
                <w:lang w:val="en-US" w:eastAsia="el-GR"/>
              </w:rPr>
              <w:t>Βιοκαύσιμα</w:t>
            </w:r>
            <w:proofErr w:type="spellEnd"/>
            <w:r w:rsidRPr="0004168B">
              <w:rPr>
                <w:rFonts w:ascii="Times New Roman" w:eastAsia="Times New Roman" w:hAnsi="Times New Roman" w:cs="Times New Roman"/>
                <w:kern w:val="0"/>
                <w:sz w:val="20"/>
                <w:szCs w:val="20"/>
                <w:lang w:eastAsia="el-GR"/>
              </w:rPr>
              <w:t xml:space="preserve"> (καυσόξυλα)</w:t>
            </w:r>
          </w:p>
        </w:tc>
        <w:tc>
          <w:tcPr>
            <w:tcW w:w="295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highlight w:val="yellow"/>
                <w:lang w:eastAsia="el-GR"/>
              </w:rPr>
            </w:pPr>
          </w:p>
        </w:tc>
        <w:tc>
          <w:tcPr>
            <w:tcW w:w="3119"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Καύση για θερμότητα και ενέργεια</w:t>
            </w:r>
          </w:p>
        </w:tc>
        <w:tc>
          <w:tcPr>
            <w:tcW w:w="130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val="en-US" w:eastAsia="el-GR"/>
              </w:rPr>
            </w:pPr>
            <w:r w:rsidRPr="0004168B">
              <w:rPr>
                <w:rFonts w:ascii="Times New Roman" w:eastAsia="Times New Roman" w:hAnsi="Times New Roman" w:cs="Times New Roman"/>
                <w:kern w:val="0"/>
                <w:sz w:val="20"/>
                <w:szCs w:val="20"/>
                <w:lang w:val="en-US" w:eastAsia="el-GR"/>
              </w:rPr>
              <w:t>1.6</w:t>
            </w:r>
          </w:p>
        </w:tc>
      </w:tr>
      <w:tr w:rsidR="0004168B" w:rsidRPr="0004168B" w:rsidTr="009435FA">
        <w:trPr>
          <w:trHeight w:val="127"/>
          <w:jc w:val="center"/>
        </w:trPr>
        <w:tc>
          <w:tcPr>
            <w:tcW w:w="3278"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Εξειδικευμένα Προϊόντα (δασικά Υπολείμματα, υπολείμματα υλοτομιών, θρυμματισμού, κλπ.)</w:t>
            </w:r>
          </w:p>
        </w:tc>
        <w:tc>
          <w:tcPr>
            <w:tcW w:w="295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highlight w:val="yellow"/>
                <w:lang w:eastAsia="el-GR"/>
              </w:rPr>
            </w:pPr>
          </w:p>
        </w:tc>
        <w:tc>
          <w:tcPr>
            <w:tcW w:w="3119"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 xml:space="preserve">Προηγμένες εφαρμογές, χρήση για παραγωγή </w:t>
            </w:r>
            <w:proofErr w:type="spellStart"/>
            <w:r w:rsidRPr="0004168B">
              <w:rPr>
                <w:rFonts w:ascii="Times New Roman" w:eastAsia="Times New Roman" w:hAnsi="Times New Roman" w:cs="Times New Roman"/>
                <w:kern w:val="0"/>
                <w:sz w:val="20"/>
                <w:szCs w:val="20"/>
                <w:lang w:eastAsia="el-GR"/>
              </w:rPr>
              <w:t>εδαφοβελτιωτικών</w:t>
            </w:r>
            <w:proofErr w:type="spellEnd"/>
            <w:r w:rsidRPr="0004168B">
              <w:rPr>
                <w:rFonts w:ascii="Times New Roman" w:eastAsia="Times New Roman" w:hAnsi="Times New Roman" w:cs="Times New Roman"/>
                <w:kern w:val="0"/>
                <w:sz w:val="20"/>
                <w:szCs w:val="20"/>
                <w:lang w:eastAsia="el-GR"/>
              </w:rPr>
              <w:t xml:space="preserve"> ή καύση</w:t>
            </w:r>
          </w:p>
        </w:tc>
        <w:tc>
          <w:tcPr>
            <w:tcW w:w="130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1.7-2.0</w:t>
            </w:r>
          </w:p>
        </w:tc>
      </w:tr>
      <w:tr w:rsidR="0004168B" w:rsidRPr="0004168B" w:rsidTr="009435FA">
        <w:trPr>
          <w:trHeight w:val="127"/>
          <w:jc w:val="center"/>
        </w:trPr>
        <w:tc>
          <w:tcPr>
            <w:tcW w:w="3278"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Δευτερογενείς Καρπώσεις</w:t>
            </w:r>
          </w:p>
        </w:tc>
        <w:tc>
          <w:tcPr>
            <w:tcW w:w="295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highlight w:val="yellow"/>
                <w:lang w:eastAsia="el-GR"/>
              </w:rPr>
            </w:pPr>
          </w:p>
        </w:tc>
        <w:tc>
          <w:tcPr>
            <w:tcW w:w="3119"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Υψηλή εμπορική αξία, περιορισμένη χρήση για ενέργεια</w:t>
            </w:r>
          </w:p>
        </w:tc>
        <w:tc>
          <w:tcPr>
            <w:tcW w:w="1304" w:type="dxa"/>
          </w:tcPr>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0"/>
                <w:szCs w:val="20"/>
                <w:lang w:eastAsia="el-GR"/>
              </w:rPr>
            </w:pPr>
            <w:r w:rsidRPr="0004168B">
              <w:rPr>
                <w:rFonts w:ascii="Times New Roman" w:eastAsia="Times New Roman" w:hAnsi="Times New Roman" w:cs="Times New Roman"/>
                <w:kern w:val="0"/>
                <w:sz w:val="20"/>
                <w:szCs w:val="20"/>
                <w:lang w:eastAsia="el-GR"/>
              </w:rPr>
              <w:t>1.0</w:t>
            </w:r>
          </w:p>
        </w:tc>
      </w:tr>
    </w:tbl>
    <w:p w:rsidR="0004168B" w:rsidRPr="0004168B" w:rsidRDefault="0004168B" w:rsidP="0004168B">
      <w:pPr>
        <w:spacing w:line="360" w:lineRule="auto"/>
        <w:ind w:left="720" w:hanging="720"/>
        <w:contextualSpacing/>
        <w:rPr>
          <w:rFonts w:ascii="Times New Roman" w:hAnsi="Times New Roman" w:cs="Times New Roman"/>
          <w:b/>
          <w:bCs/>
          <w:sz w:val="24"/>
          <w:szCs w:val="24"/>
        </w:rPr>
      </w:pPr>
    </w:p>
    <w:p w:rsidR="0004168B" w:rsidRPr="0004168B" w:rsidRDefault="0004168B" w:rsidP="0004168B">
      <w:pPr>
        <w:spacing w:line="360" w:lineRule="auto"/>
        <w:ind w:left="720" w:hanging="720"/>
        <w:contextualSpacing/>
        <w:rPr>
          <w:rFonts w:ascii="Times New Roman" w:hAnsi="Times New Roman" w:cs="Times New Roman"/>
          <w:b/>
          <w:bCs/>
          <w:sz w:val="24"/>
          <w:szCs w:val="24"/>
        </w:rPr>
      </w:pPr>
    </w:p>
    <w:p w:rsidR="0004168B" w:rsidRPr="0004168B" w:rsidRDefault="0004168B" w:rsidP="0004168B">
      <w:pPr>
        <w:spacing w:line="360" w:lineRule="auto"/>
        <w:ind w:left="720" w:hanging="720"/>
        <w:contextualSpacing/>
        <w:rPr>
          <w:rFonts w:ascii="Times New Roman" w:hAnsi="Times New Roman" w:cs="Times New Roman"/>
          <w:b/>
          <w:bCs/>
          <w:sz w:val="24"/>
          <w:szCs w:val="24"/>
        </w:rPr>
      </w:pPr>
      <w:r w:rsidRPr="0004168B">
        <w:rPr>
          <w:rFonts w:ascii="Times New Roman" w:hAnsi="Times New Roman" w:cs="Times New Roman"/>
          <w:b/>
          <w:bCs/>
          <w:sz w:val="24"/>
          <w:szCs w:val="24"/>
        </w:rPr>
        <w:t>Μαθηματικός Τύπος για τον υπολογισμό του Συντελεστή Είδους Βιομάζας (S</w:t>
      </w:r>
      <w:r w:rsidRPr="0004168B">
        <w:rPr>
          <w:rFonts w:ascii="Times New Roman" w:hAnsi="Times New Roman" w:cs="Times New Roman"/>
          <w:b/>
          <w:bCs/>
          <w:sz w:val="24"/>
          <w:szCs w:val="24"/>
          <w:vertAlign w:val="subscript"/>
          <w:lang w:val="en-US"/>
        </w:rPr>
        <w:t>B</w:t>
      </w:r>
      <w:r w:rsidRPr="0004168B">
        <w:rPr>
          <w:rFonts w:ascii="Times New Roman" w:hAnsi="Times New Roman" w:cs="Times New Roman"/>
          <w:b/>
          <w:bCs/>
          <w:sz w:val="24"/>
          <w:szCs w:val="24"/>
          <w:vertAlign w:val="subscript"/>
        </w:rPr>
        <w:t>)</w:t>
      </w:r>
      <w:r w:rsidRPr="0004168B">
        <w:rPr>
          <w:rFonts w:ascii="Times New Roman" w:hAnsi="Times New Roman" w:cs="Times New Roman"/>
          <w:b/>
          <w:bCs/>
          <w:sz w:val="24"/>
          <w:szCs w:val="24"/>
        </w:rPr>
        <w:t>:</w:t>
      </w:r>
    </w:p>
    <w:p w:rsidR="0004168B" w:rsidRPr="0004168B" w:rsidRDefault="00AF0F33" w:rsidP="0004168B">
      <w:pPr>
        <w:spacing w:line="360" w:lineRule="auto"/>
        <w:rPr>
          <w:rFonts w:ascii="Times New Roman" w:eastAsiaTheme="minorEastAsia" w:hAnsi="Times New Roman" w:cs="Times New Roman"/>
          <w:color w:val="0F4761" w:themeColor="accent1" w:themeShade="BF"/>
          <w:sz w:val="24"/>
          <w:szCs w:val="24"/>
        </w:rPr>
      </w:pPr>
      <m:oMathPara>
        <m:oMath>
          <m:sSub>
            <m:sSubPr>
              <m:ctrlPr>
                <w:rPr>
                  <w:rFonts w:ascii="Cambria Math" w:eastAsiaTheme="majorEastAsia" w:hAnsi="Cambria Math" w:cs="Times New Roman"/>
                  <w:i/>
                  <w:sz w:val="24"/>
                  <w:szCs w:val="24"/>
                  <w:lang w:val="en-US"/>
                </w:rPr>
              </m:ctrlPr>
            </m:sSubPr>
            <m:e>
              <m:r>
                <w:rPr>
                  <w:rFonts w:ascii="Cambria Math" w:eastAsiaTheme="majorEastAsia" w:hAnsi="Cambria Math" w:cs="Times New Roman"/>
                  <w:sz w:val="24"/>
                  <w:szCs w:val="24"/>
                  <w:lang w:val="en-US"/>
                </w:rPr>
                <m:t>s</m:t>
              </m:r>
            </m:e>
            <m:sub>
              <m:r>
                <w:rPr>
                  <w:rFonts w:ascii="Cambria Math" w:eastAsiaTheme="majorEastAsia" w:hAnsi="Cambria Math" w:cs="Times New Roman"/>
                  <w:sz w:val="24"/>
                  <w:szCs w:val="24"/>
                  <w:lang w:val="en-US"/>
                </w:rPr>
                <m:t>B</m:t>
              </m:r>
            </m:sub>
          </m:sSub>
          <m:r>
            <w:rPr>
              <w:rFonts w:ascii="Cambria Math" w:eastAsiaTheme="majorEastAsia" w:hAnsi="Cambria Math" w:cs="Times New Roman"/>
              <w:sz w:val="24"/>
              <w:szCs w:val="24"/>
            </w:rPr>
            <m:t>=</m:t>
          </m:r>
          <m:nary>
            <m:naryPr>
              <m:chr m:val="∑"/>
              <m:limLoc m:val="undOvr"/>
              <m:grow m:val="on"/>
              <m:ctrlPr>
                <w:rPr>
                  <w:rFonts w:ascii="Cambria Math" w:eastAsiaTheme="majorEastAsia" w:hAnsi="Cambria Math" w:cs="Times New Roman"/>
                  <w:i/>
                  <w:sz w:val="24"/>
                  <w:szCs w:val="24"/>
                  <w:lang w:val="en-US"/>
                </w:rPr>
              </m:ctrlPr>
            </m:naryPr>
            <m:sub>
              <m:r>
                <w:rPr>
                  <w:rFonts w:ascii="Cambria Math" w:eastAsiaTheme="majorEastAsia" w:hAnsi="Cambria Math" w:cs="Times New Roman"/>
                  <w:sz w:val="24"/>
                  <w:szCs w:val="24"/>
                  <w:lang w:val="en-US"/>
                </w:rPr>
                <m:t>i</m:t>
              </m:r>
              <m:r>
                <w:rPr>
                  <w:rFonts w:ascii="Cambria Math" w:eastAsiaTheme="majorEastAsia" w:hAnsi="Cambria Math" w:cs="Times New Roman"/>
                  <w:sz w:val="24"/>
                  <w:szCs w:val="24"/>
                </w:rPr>
                <m:t>=1</m:t>
              </m:r>
            </m:sub>
            <m:sup>
              <m:r>
                <w:rPr>
                  <w:rFonts w:ascii="Cambria Math" w:eastAsiaTheme="majorEastAsia" w:hAnsi="Cambria Math" w:cs="Times New Roman"/>
                  <w:sz w:val="24"/>
                  <w:szCs w:val="24"/>
                  <w:lang w:val="en-US"/>
                </w:rPr>
                <m:t>n</m:t>
              </m:r>
            </m:sup>
            <m:e>
              <m:d>
                <m:dPr>
                  <m:ctrlPr>
                    <w:rPr>
                      <w:rFonts w:ascii="Cambria Math" w:eastAsiaTheme="majorEastAsia" w:hAnsi="Cambria Math" w:cs="Times New Roman"/>
                      <w:i/>
                      <w:sz w:val="24"/>
                      <w:szCs w:val="24"/>
                      <w:lang w:val="en-US"/>
                    </w:rPr>
                  </m:ctrlPr>
                </m:dPr>
                <m:e>
                  <m:f>
                    <m:fPr>
                      <m:ctrlPr>
                        <w:rPr>
                          <w:rFonts w:ascii="Cambria Math" w:eastAsiaTheme="majorEastAsia" w:hAnsi="Cambria Math" w:cs="Times New Roman"/>
                          <w:i/>
                          <w:sz w:val="24"/>
                          <w:szCs w:val="24"/>
                          <w:lang w:val="en-US"/>
                        </w:rPr>
                      </m:ctrlPr>
                    </m:fPr>
                    <m:num>
                      <m:sSub>
                        <m:sSubPr>
                          <m:ctrlPr>
                            <w:rPr>
                              <w:rFonts w:ascii="Cambria Math" w:eastAsiaTheme="majorEastAsia" w:hAnsi="Cambria Math" w:cs="Times New Roman"/>
                              <w:i/>
                              <w:sz w:val="24"/>
                              <w:szCs w:val="24"/>
                              <w:lang w:val="en-US"/>
                            </w:rPr>
                          </m:ctrlPr>
                        </m:sSubPr>
                        <m:e>
                          <m:r>
                            <w:rPr>
                              <w:rFonts w:ascii="Cambria Math" w:eastAsiaTheme="majorEastAsia" w:hAnsi="Cambria Math" w:cs="Times New Roman"/>
                              <w:sz w:val="24"/>
                              <w:szCs w:val="24"/>
                              <w:lang w:val="en-US"/>
                            </w:rPr>
                            <m:t>Q</m:t>
                          </m:r>
                        </m:e>
                        <m:sub>
                          <m:r>
                            <w:rPr>
                              <w:rFonts w:ascii="Cambria Math" w:eastAsiaTheme="majorEastAsia" w:hAnsi="Cambria Math" w:cs="Times New Roman"/>
                              <w:sz w:val="24"/>
                              <w:szCs w:val="24"/>
                              <w:lang w:val="en-US"/>
                            </w:rPr>
                            <m:t>i</m:t>
                          </m:r>
                        </m:sub>
                      </m:sSub>
                    </m:num>
                    <m:den>
                      <m:sSub>
                        <m:sSubPr>
                          <m:ctrlPr>
                            <w:rPr>
                              <w:rFonts w:ascii="Cambria Math" w:eastAsiaTheme="majorEastAsia" w:hAnsi="Cambria Math" w:cs="Times New Roman"/>
                              <w:i/>
                              <w:sz w:val="24"/>
                              <w:szCs w:val="24"/>
                              <w:lang w:val="en-US"/>
                            </w:rPr>
                          </m:ctrlPr>
                        </m:sSubPr>
                        <m:e>
                          <m:r>
                            <w:rPr>
                              <w:rFonts w:ascii="Cambria Math" w:eastAsiaTheme="majorEastAsia" w:hAnsi="Cambria Math" w:cs="Times New Roman"/>
                              <w:sz w:val="24"/>
                              <w:szCs w:val="24"/>
                              <w:lang w:val="en-US"/>
                            </w:rPr>
                            <m:t>Q</m:t>
                          </m:r>
                        </m:e>
                        <m:sub>
                          <m:r>
                            <w:rPr>
                              <w:rFonts w:ascii="Cambria Math" w:eastAsiaTheme="majorEastAsia" w:hAnsi="Cambria Math" w:cs="Times New Roman"/>
                              <w:sz w:val="24"/>
                              <w:szCs w:val="24"/>
                              <w:lang w:val="en-US"/>
                            </w:rPr>
                            <m:t>total</m:t>
                          </m:r>
                        </m:sub>
                      </m:sSub>
                    </m:den>
                  </m:f>
                  <m:r>
                    <w:rPr>
                      <w:rFonts w:ascii="Cambria Math" w:eastAsiaTheme="majorEastAsia" w:hAnsi="Cambria Math" w:cs="Times New Roman"/>
                      <w:sz w:val="24"/>
                      <w:szCs w:val="24"/>
                    </w:rPr>
                    <m:t>⋅</m:t>
                  </m:r>
                  <m:sSub>
                    <m:sSubPr>
                      <m:ctrlPr>
                        <w:rPr>
                          <w:rFonts w:ascii="Cambria Math" w:eastAsiaTheme="majorEastAsia" w:hAnsi="Cambria Math" w:cs="Times New Roman"/>
                          <w:i/>
                          <w:sz w:val="24"/>
                          <w:szCs w:val="24"/>
                          <w:lang w:val="en-US"/>
                        </w:rPr>
                      </m:ctrlPr>
                    </m:sSubPr>
                    <m:e>
                      <m:r>
                        <w:rPr>
                          <w:rFonts w:ascii="Cambria Math" w:eastAsiaTheme="majorEastAsia" w:hAnsi="Cambria Math" w:cs="Times New Roman"/>
                          <w:sz w:val="24"/>
                          <w:szCs w:val="24"/>
                          <w:lang w:val="en-US"/>
                        </w:rPr>
                        <m:t>W</m:t>
                      </m:r>
                    </m:e>
                    <m:sub>
                      <m:r>
                        <w:rPr>
                          <w:rFonts w:ascii="Cambria Math" w:eastAsiaTheme="majorEastAsia" w:hAnsi="Cambria Math" w:cs="Times New Roman"/>
                          <w:sz w:val="24"/>
                          <w:szCs w:val="24"/>
                          <w:lang w:val="en-US"/>
                        </w:rPr>
                        <m:t>i</m:t>
                      </m:r>
                    </m:sub>
                  </m:sSub>
                </m:e>
              </m:d>
            </m:e>
          </m:nary>
        </m:oMath>
      </m:oMathPara>
    </w:p>
    <w:p w:rsidR="0004168B" w:rsidRPr="0004168B" w:rsidRDefault="0004168B" w:rsidP="0004168B">
      <w:pPr>
        <w:spacing w:before="100" w:beforeAutospacing="1" w:after="100" w:afterAutospacing="1" w:line="360" w:lineRule="auto"/>
        <w:rPr>
          <w:rFonts w:ascii="Times New Roman" w:eastAsia="Times New Roman" w:hAnsi="Times New Roman" w:cs="Times New Roman"/>
          <w:kern w:val="0"/>
          <w:sz w:val="24"/>
          <w:szCs w:val="24"/>
          <w:lang w:eastAsia="el-GR"/>
        </w:rPr>
      </w:pPr>
      <w:r w:rsidRPr="0004168B">
        <w:rPr>
          <w:rFonts w:ascii="Times New Roman" w:eastAsia="Times New Roman" w:hAnsi="Times New Roman" w:cs="Times New Roman"/>
          <w:kern w:val="0"/>
          <w:sz w:val="24"/>
          <w:szCs w:val="24"/>
          <w:lang w:eastAsia="el-GR"/>
        </w:rPr>
        <w:t>Όπου:</w:t>
      </w:r>
    </w:p>
    <w:p w:rsidR="0004168B" w:rsidRPr="0004168B" w:rsidRDefault="0004168B" w:rsidP="0004168B">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rPr>
      </w:pPr>
      <w:proofErr w:type="spellStart"/>
      <w:r w:rsidRPr="0004168B">
        <w:rPr>
          <w:rFonts w:ascii="Times New Roman" w:eastAsia="Times New Roman" w:hAnsi="Times New Roman" w:cs="Times New Roman"/>
          <w:kern w:val="0"/>
          <w:sz w:val="24"/>
          <w:szCs w:val="24"/>
          <w:lang w:eastAsia="el-GR"/>
        </w:rPr>
        <w:t>Qi</w:t>
      </w:r>
      <w:proofErr w:type="spellEnd"/>
      <w:r w:rsidRPr="0004168B">
        <w:rPr>
          <w:rFonts w:ascii="Times New Roman" w:eastAsia="Times New Roman" w:hAnsi="Times New Roman" w:cs="Times New Roman"/>
          <w:kern w:val="0"/>
          <w:sz w:val="24"/>
          <w:szCs w:val="24"/>
          <w:lang w:eastAsia="el-GR"/>
        </w:rPr>
        <w:t>: Ποσότητα προϊόντος i που εξάγεται από το δάσος.</w:t>
      </w:r>
    </w:p>
    <w:p w:rsidR="0004168B" w:rsidRPr="0004168B" w:rsidRDefault="0004168B" w:rsidP="0004168B">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rPr>
      </w:pPr>
      <w:proofErr w:type="spellStart"/>
      <w:r w:rsidRPr="0004168B">
        <w:rPr>
          <w:rFonts w:ascii="Times New Roman" w:eastAsia="Times New Roman" w:hAnsi="Times New Roman" w:cs="Times New Roman"/>
          <w:kern w:val="0"/>
          <w:sz w:val="24"/>
          <w:szCs w:val="24"/>
          <w:lang w:eastAsia="el-GR"/>
        </w:rPr>
        <w:t>Qtotal</w:t>
      </w:r>
      <w:proofErr w:type="spellEnd"/>
      <w:r w:rsidRPr="0004168B">
        <w:rPr>
          <w:rFonts w:ascii="Times New Roman" w:eastAsia="Times New Roman" w:hAnsi="Times New Roman" w:cs="Times New Roman"/>
          <w:kern w:val="0"/>
          <w:sz w:val="24"/>
          <w:szCs w:val="24"/>
          <w:lang w:eastAsia="el-GR"/>
        </w:rPr>
        <w:t>: Συνολική ποσότητα εξαγόμενης βιομάζας.</w:t>
      </w:r>
    </w:p>
    <w:p w:rsidR="0004168B" w:rsidRPr="0004168B" w:rsidRDefault="0004168B" w:rsidP="0004168B">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l-GR"/>
        </w:rPr>
      </w:pPr>
      <w:proofErr w:type="spellStart"/>
      <w:r w:rsidRPr="0004168B">
        <w:rPr>
          <w:rFonts w:ascii="Times New Roman" w:eastAsia="Times New Roman" w:hAnsi="Times New Roman" w:cs="Times New Roman"/>
          <w:kern w:val="0"/>
          <w:sz w:val="24"/>
          <w:szCs w:val="24"/>
          <w:lang w:eastAsia="el-GR"/>
        </w:rPr>
        <w:lastRenderedPageBreak/>
        <w:t>Wi</w:t>
      </w:r>
      <w:proofErr w:type="spellEnd"/>
      <w:r w:rsidRPr="0004168B">
        <w:rPr>
          <w:rFonts w:ascii="Times New Roman" w:eastAsia="Times New Roman" w:hAnsi="Times New Roman" w:cs="Times New Roman"/>
          <w:kern w:val="0"/>
          <w:sz w:val="24"/>
          <w:szCs w:val="24"/>
          <w:lang w:eastAsia="el-GR"/>
        </w:rPr>
        <w:t>: Συντελεστής βαρύτητας (βάρος) κατηγορίας για το προϊόν i (βλ. ΠΙΝΑΚΑ 1 παραπάνω)</w:t>
      </w:r>
    </w:p>
    <w:p w:rsidR="0004168B" w:rsidRPr="0004168B" w:rsidRDefault="0004168B" w:rsidP="0004168B">
      <w:pPr>
        <w:spacing w:line="360" w:lineRule="auto"/>
        <w:rPr>
          <w:rFonts w:ascii="Times New Roman" w:hAnsi="Times New Roman" w:cs="Times New Roman"/>
          <w:sz w:val="24"/>
          <w:szCs w:val="24"/>
        </w:rPr>
      </w:pPr>
    </w:p>
    <w:p w:rsidR="0004168B" w:rsidRPr="0004168B" w:rsidRDefault="0004168B" w:rsidP="0004168B">
      <w:pPr>
        <w:spacing w:line="360" w:lineRule="auto"/>
        <w:jc w:val="center"/>
        <w:rPr>
          <w:rFonts w:ascii="Times New Roman" w:hAnsi="Times New Roman" w:cs="Times New Roman"/>
          <w:b/>
          <w:bCs/>
          <w:sz w:val="24"/>
          <w:szCs w:val="24"/>
        </w:rPr>
      </w:pPr>
      <w:r w:rsidRPr="0004168B">
        <w:rPr>
          <w:rFonts w:ascii="Times New Roman" w:hAnsi="Times New Roman" w:cs="Times New Roman"/>
          <w:sz w:val="24"/>
          <w:szCs w:val="24"/>
        </w:rPr>
        <w:br w:type="page"/>
      </w:r>
      <w:r w:rsidRPr="0004168B">
        <w:rPr>
          <w:rFonts w:ascii="Times New Roman" w:hAnsi="Times New Roman" w:cs="Times New Roman"/>
          <w:b/>
          <w:bCs/>
          <w:sz w:val="24"/>
          <w:szCs w:val="24"/>
        </w:rPr>
        <w:lastRenderedPageBreak/>
        <w:t>ΠΑΡΑΡΤΗΜΑ Β</w:t>
      </w:r>
    </w:p>
    <w:p w:rsidR="0004168B" w:rsidRPr="0004168B" w:rsidRDefault="0004168B" w:rsidP="0004168B">
      <w:pPr>
        <w:spacing w:line="360" w:lineRule="auto"/>
        <w:jc w:val="center"/>
        <w:rPr>
          <w:rFonts w:ascii="Times New Roman" w:hAnsi="Times New Roman" w:cs="Times New Roman"/>
          <w:b/>
          <w:bCs/>
          <w:sz w:val="24"/>
          <w:szCs w:val="24"/>
        </w:rPr>
      </w:pPr>
      <w:r w:rsidRPr="0004168B">
        <w:rPr>
          <w:rFonts w:ascii="Times New Roman" w:hAnsi="Times New Roman" w:cs="Times New Roman"/>
          <w:b/>
          <w:bCs/>
          <w:sz w:val="24"/>
          <w:szCs w:val="24"/>
        </w:rPr>
        <w:t>ΣΥΝΤΕΛΕΣΤΗΣ ΔΥΣΚΟΛΙΑΣ ΔΙΑΧΕΙΡΙΣΗΣ</w:t>
      </w:r>
    </w:p>
    <w:p w:rsidR="0004168B" w:rsidRPr="0004168B" w:rsidRDefault="0004168B" w:rsidP="0004168B">
      <w:pPr>
        <w:spacing w:line="360" w:lineRule="auto"/>
        <w:jc w:val="center"/>
        <w:rPr>
          <w:rFonts w:ascii="Times New Roman" w:hAnsi="Times New Roman" w:cs="Times New Roman"/>
          <w:sz w:val="24"/>
          <w:szCs w:val="24"/>
        </w:rPr>
      </w:pPr>
    </w:p>
    <w:p w:rsidR="0004168B" w:rsidRPr="0004168B" w:rsidRDefault="0004168B" w:rsidP="0004168B">
      <w:pPr>
        <w:spacing w:line="360" w:lineRule="auto"/>
        <w:rPr>
          <w:rFonts w:ascii="Times New Roman" w:hAnsi="Times New Roman" w:cs="Times New Roman"/>
          <w:sz w:val="24"/>
          <w:szCs w:val="24"/>
        </w:rPr>
      </w:pPr>
      <w:r w:rsidRPr="0004168B">
        <w:rPr>
          <w:rFonts w:ascii="Times New Roman" w:hAnsi="Times New Roman" w:cs="Times New Roman"/>
          <w:b/>
          <w:bCs/>
          <w:sz w:val="24"/>
          <w:szCs w:val="24"/>
        </w:rPr>
        <w:t>ΠΙΝΑΚΑΣ 2: Κατηγορίες Δυσκολίας Διαχείρισης</w:t>
      </w:r>
      <w:r w:rsidRPr="0004168B">
        <w:rPr>
          <w:rFonts w:ascii="Times New Roman" w:hAnsi="Times New Roman" w:cs="Times New Roman"/>
          <w:sz w:val="24"/>
          <w:szCs w:val="24"/>
        </w:rPr>
        <w:t>:</w:t>
      </w:r>
    </w:p>
    <w:tbl>
      <w:tblPr>
        <w:tblStyle w:val="aa"/>
        <w:tblW w:w="10772" w:type="dxa"/>
        <w:jc w:val="center"/>
        <w:tblLook w:val="04A0"/>
      </w:tblPr>
      <w:tblGrid>
        <w:gridCol w:w="2857"/>
        <w:gridCol w:w="5583"/>
        <w:gridCol w:w="2332"/>
      </w:tblGrid>
      <w:tr w:rsidR="0004168B" w:rsidRPr="0004168B" w:rsidTr="009435FA">
        <w:trPr>
          <w:trHeight w:val="135"/>
          <w:jc w:val="center"/>
        </w:trPr>
        <w:tc>
          <w:tcPr>
            <w:tcW w:w="2857" w:type="dxa"/>
          </w:tcPr>
          <w:p w:rsidR="0004168B" w:rsidRPr="0004168B" w:rsidRDefault="0004168B" w:rsidP="0004168B">
            <w:pPr>
              <w:spacing w:line="360" w:lineRule="auto"/>
              <w:jc w:val="center"/>
              <w:rPr>
                <w:rFonts w:ascii="Times New Roman" w:hAnsi="Times New Roman" w:cs="Times New Roman"/>
                <w:b/>
                <w:bCs/>
                <w:sz w:val="20"/>
                <w:szCs w:val="20"/>
              </w:rPr>
            </w:pPr>
            <w:r w:rsidRPr="0004168B">
              <w:rPr>
                <w:rFonts w:ascii="Times New Roman" w:hAnsi="Times New Roman" w:cs="Times New Roman"/>
                <w:b/>
                <w:bCs/>
                <w:sz w:val="20"/>
                <w:szCs w:val="20"/>
              </w:rPr>
              <w:t>Κατηγορία</w:t>
            </w:r>
          </w:p>
        </w:tc>
        <w:tc>
          <w:tcPr>
            <w:tcW w:w="5583" w:type="dxa"/>
          </w:tcPr>
          <w:p w:rsidR="0004168B" w:rsidRPr="0004168B" w:rsidRDefault="0004168B" w:rsidP="0004168B">
            <w:pPr>
              <w:spacing w:line="360" w:lineRule="auto"/>
              <w:jc w:val="center"/>
              <w:rPr>
                <w:rFonts w:ascii="Times New Roman" w:hAnsi="Times New Roman" w:cs="Times New Roman"/>
                <w:b/>
                <w:bCs/>
                <w:sz w:val="20"/>
                <w:szCs w:val="20"/>
              </w:rPr>
            </w:pPr>
            <w:r w:rsidRPr="0004168B">
              <w:rPr>
                <w:rFonts w:ascii="Times New Roman" w:hAnsi="Times New Roman" w:cs="Times New Roman"/>
                <w:b/>
                <w:bCs/>
                <w:sz w:val="20"/>
                <w:szCs w:val="20"/>
              </w:rPr>
              <w:t>Περιγραφή</w:t>
            </w:r>
          </w:p>
        </w:tc>
        <w:tc>
          <w:tcPr>
            <w:tcW w:w="2332" w:type="dxa"/>
          </w:tcPr>
          <w:p w:rsidR="0004168B" w:rsidRPr="0004168B" w:rsidRDefault="0004168B" w:rsidP="0004168B">
            <w:pPr>
              <w:spacing w:line="360" w:lineRule="auto"/>
              <w:jc w:val="center"/>
              <w:rPr>
                <w:rFonts w:ascii="Times New Roman" w:hAnsi="Times New Roman" w:cs="Times New Roman"/>
                <w:b/>
                <w:bCs/>
                <w:sz w:val="20"/>
                <w:szCs w:val="20"/>
                <w:vertAlign w:val="subscript"/>
              </w:rPr>
            </w:pPr>
            <w:r w:rsidRPr="0004168B">
              <w:rPr>
                <w:rFonts w:ascii="Times New Roman" w:hAnsi="Times New Roman" w:cs="Times New Roman"/>
                <w:b/>
                <w:bCs/>
                <w:sz w:val="20"/>
                <w:szCs w:val="20"/>
              </w:rPr>
              <w:t>Εύρος τιμών Ci</w:t>
            </w:r>
          </w:p>
        </w:tc>
      </w:tr>
      <w:tr w:rsidR="0004168B" w:rsidRPr="0004168B" w:rsidTr="009435FA">
        <w:trPr>
          <w:trHeight w:val="454"/>
          <w:jc w:val="center"/>
        </w:trPr>
        <w:tc>
          <w:tcPr>
            <w:tcW w:w="2857"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Χαμηλή Δυσκολία</w:t>
            </w:r>
          </w:p>
        </w:tc>
        <w:tc>
          <w:tcPr>
            <w:tcW w:w="5583"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Χωρίς ιδιαίτερη δυσκολία,  αφορά το κάθε εξεταζόμενο κριτήριο ξεχωριστά</w:t>
            </w:r>
          </w:p>
        </w:tc>
        <w:tc>
          <w:tcPr>
            <w:tcW w:w="2332"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1.0–1.2</w:t>
            </w:r>
          </w:p>
        </w:tc>
      </w:tr>
      <w:tr w:rsidR="0004168B" w:rsidRPr="0004168B" w:rsidTr="009435FA">
        <w:trPr>
          <w:trHeight w:val="450"/>
          <w:jc w:val="center"/>
        </w:trPr>
        <w:tc>
          <w:tcPr>
            <w:tcW w:w="2857"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Μέτρια Δυσκολία</w:t>
            </w:r>
          </w:p>
        </w:tc>
        <w:tc>
          <w:tcPr>
            <w:tcW w:w="5583"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Μέτρια δυσκολία, αφορά το κάθε εξεταζόμενο κριτήριο ξεχωριστά</w:t>
            </w:r>
          </w:p>
        </w:tc>
        <w:tc>
          <w:tcPr>
            <w:tcW w:w="2332"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1.3–1.5</w:t>
            </w:r>
          </w:p>
        </w:tc>
      </w:tr>
      <w:tr w:rsidR="0004168B" w:rsidRPr="0004168B" w:rsidTr="009435FA">
        <w:trPr>
          <w:trHeight w:val="366"/>
          <w:jc w:val="center"/>
        </w:trPr>
        <w:tc>
          <w:tcPr>
            <w:tcW w:w="2857"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Υψηλή Δυσκολία</w:t>
            </w:r>
          </w:p>
        </w:tc>
        <w:tc>
          <w:tcPr>
            <w:tcW w:w="5583"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Υψηλή Δυσκολία, αφορά το κάθε εξεταζόμενο κριτήριο ξεχωριστά</w:t>
            </w:r>
          </w:p>
        </w:tc>
        <w:tc>
          <w:tcPr>
            <w:tcW w:w="2332"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1.6–1.8</w:t>
            </w:r>
          </w:p>
        </w:tc>
      </w:tr>
      <w:tr w:rsidR="0004168B" w:rsidRPr="0004168B" w:rsidTr="009435FA">
        <w:trPr>
          <w:trHeight w:val="403"/>
          <w:jc w:val="center"/>
        </w:trPr>
        <w:tc>
          <w:tcPr>
            <w:tcW w:w="2857"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Πολύ Υψηλή Δυσκολία</w:t>
            </w:r>
          </w:p>
        </w:tc>
        <w:tc>
          <w:tcPr>
            <w:tcW w:w="5583"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Πολύ Υψηλή Δυσκολία, αφορά το κάθε εξεταζόμενο κριτήριο ξεχωριστά</w:t>
            </w:r>
          </w:p>
        </w:tc>
        <w:tc>
          <w:tcPr>
            <w:tcW w:w="2332"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1.9–2.0</w:t>
            </w:r>
          </w:p>
        </w:tc>
      </w:tr>
    </w:tbl>
    <w:p w:rsidR="0004168B" w:rsidRPr="0004168B" w:rsidRDefault="0004168B" w:rsidP="0004168B">
      <w:pPr>
        <w:spacing w:line="360" w:lineRule="auto"/>
        <w:rPr>
          <w:rFonts w:ascii="Times New Roman" w:hAnsi="Times New Roman" w:cs="Times New Roman"/>
          <w:sz w:val="24"/>
          <w:szCs w:val="24"/>
        </w:rPr>
      </w:pPr>
    </w:p>
    <w:p w:rsidR="0004168B" w:rsidRPr="0004168B" w:rsidRDefault="0004168B" w:rsidP="0004168B">
      <w:pPr>
        <w:spacing w:line="360" w:lineRule="auto"/>
        <w:ind w:hanging="284"/>
        <w:jc w:val="both"/>
        <w:rPr>
          <w:rFonts w:ascii="Times New Roman" w:hAnsi="Times New Roman" w:cs="Times New Roman"/>
          <w:b/>
          <w:bCs/>
          <w:sz w:val="24"/>
          <w:szCs w:val="24"/>
          <w:vertAlign w:val="subscript"/>
          <w:lang w:eastAsia="el-GR"/>
        </w:rPr>
      </w:pPr>
      <w:r w:rsidRPr="0004168B">
        <w:rPr>
          <w:rFonts w:ascii="Times New Roman" w:hAnsi="Times New Roman" w:cs="Times New Roman"/>
          <w:b/>
          <w:bCs/>
          <w:sz w:val="24"/>
          <w:szCs w:val="24"/>
          <w:lang w:eastAsia="el-GR"/>
        </w:rPr>
        <w:t>Μαθηματικός τύπος για τον υπολογισμό του Συντελεστή Δυσκολίας Διαχείρισης (S</w:t>
      </w:r>
      <w:r w:rsidRPr="0004168B">
        <w:rPr>
          <w:rFonts w:ascii="Times New Roman" w:hAnsi="Times New Roman" w:cs="Times New Roman"/>
          <w:b/>
          <w:bCs/>
          <w:sz w:val="24"/>
          <w:szCs w:val="24"/>
          <w:vertAlign w:val="subscript"/>
          <w:lang w:val="en-US" w:eastAsia="el-GR"/>
        </w:rPr>
        <w:t>D</w:t>
      </w:r>
      <w:r w:rsidRPr="0004168B">
        <w:rPr>
          <w:rFonts w:ascii="Times New Roman" w:hAnsi="Times New Roman" w:cs="Times New Roman"/>
          <w:b/>
          <w:bCs/>
          <w:sz w:val="24"/>
          <w:szCs w:val="24"/>
          <w:vertAlign w:val="subscript"/>
          <w:lang w:eastAsia="el-GR"/>
        </w:rPr>
        <w:t>)</w:t>
      </w:r>
    </w:p>
    <w:p w:rsidR="0004168B" w:rsidRPr="0004168B" w:rsidRDefault="00AF0F33" w:rsidP="0004168B">
      <w:pPr>
        <w:spacing w:before="100" w:beforeAutospacing="1" w:after="100" w:afterAutospacing="1" w:line="360" w:lineRule="auto"/>
        <w:rPr>
          <w:rFonts w:ascii="Times New Roman" w:eastAsia="Times New Roman" w:hAnsi="Times New Roman" w:cs="Times New Roman"/>
          <w:kern w:val="0"/>
          <w:sz w:val="24"/>
          <w:szCs w:val="24"/>
          <w:lang w:eastAsia="el-GR"/>
        </w:rPr>
      </w:pPr>
      <m:oMathPara>
        <m:oMath>
          <m:sSub>
            <m:sSubPr>
              <m:ctrlPr>
                <w:rPr>
                  <w:rFonts w:ascii="Cambria Math" w:hAnsi="Cambria Math" w:cs="Times New Roman"/>
                  <w:b/>
                  <w:bCs/>
                  <w:i/>
                  <w:sz w:val="24"/>
                  <w:szCs w:val="24"/>
                  <w:vertAlign w:val="subscript"/>
                  <w:lang w:val="en-US" w:eastAsia="el-GR"/>
                </w:rPr>
              </m:ctrlPr>
            </m:sSubPr>
            <m:e>
              <m:r>
                <m:rPr>
                  <m:sty m:val="bi"/>
                </m:rPr>
                <w:rPr>
                  <w:rFonts w:ascii="Cambria Math" w:hAnsi="Cambria Math" w:cs="Times New Roman"/>
                  <w:sz w:val="24"/>
                  <w:szCs w:val="24"/>
                  <w:vertAlign w:val="subscript"/>
                  <w:lang w:val="en-US" w:eastAsia="el-GR"/>
                </w:rPr>
                <m:t>S</m:t>
              </m:r>
            </m:e>
            <m:sub>
              <m:r>
                <m:rPr>
                  <m:sty m:val="bi"/>
                </m:rPr>
                <w:rPr>
                  <w:rFonts w:ascii="Cambria Math" w:hAnsi="Cambria Math" w:cs="Times New Roman"/>
                  <w:sz w:val="24"/>
                  <w:szCs w:val="24"/>
                  <w:vertAlign w:val="subscript"/>
                  <w:lang w:val="en-US" w:eastAsia="el-GR"/>
                </w:rPr>
                <m:t>D</m:t>
              </m:r>
            </m:sub>
          </m:sSub>
          <m:r>
            <m:rPr>
              <m:sty m:val="bi"/>
            </m:rPr>
            <w:rPr>
              <w:rFonts w:ascii="Cambria Math" w:hAnsi="Cambria Math" w:cs="Times New Roman"/>
              <w:sz w:val="24"/>
              <w:szCs w:val="24"/>
              <w:vertAlign w:val="subscript"/>
              <w:lang w:eastAsia="el-GR"/>
            </w:rPr>
            <m:t>=</m:t>
          </m:r>
          <m:nary>
            <m:naryPr>
              <m:chr m:val="∑"/>
              <m:limLoc m:val="undOvr"/>
              <m:grow m:val="on"/>
              <m:ctrlPr>
                <w:rPr>
                  <w:rFonts w:ascii="Cambria Math" w:hAnsi="Cambria Math" w:cs="Times New Roman"/>
                  <w:b/>
                  <w:bCs/>
                  <w:i/>
                  <w:sz w:val="24"/>
                  <w:szCs w:val="24"/>
                  <w:vertAlign w:val="subscript"/>
                  <w:lang w:val="en-US" w:eastAsia="el-GR"/>
                </w:rPr>
              </m:ctrlPr>
            </m:naryPr>
            <m:sub>
              <m:r>
                <m:rPr>
                  <m:sty m:val="bi"/>
                </m:rPr>
                <w:rPr>
                  <w:rFonts w:ascii="Cambria Math" w:hAnsi="Cambria Math" w:cs="Times New Roman"/>
                  <w:sz w:val="24"/>
                  <w:szCs w:val="24"/>
                  <w:vertAlign w:val="subscript"/>
                  <w:lang w:val="en-US" w:eastAsia="el-GR"/>
                </w:rPr>
                <m:t>i</m:t>
              </m:r>
              <m:r>
                <m:rPr>
                  <m:sty m:val="bi"/>
                </m:rPr>
                <w:rPr>
                  <w:rFonts w:ascii="Cambria Math" w:hAnsi="Cambria Math" w:cs="Times New Roman"/>
                  <w:sz w:val="24"/>
                  <w:szCs w:val="24"/>
                  <w:vertAlign w:val="subscript"/>
                  <w:lang w:eastAsia="el-GR"/>
                </w:rPr>
                <m:t>=</m:t>
              </m:r>
              <m:r>
                <m:rPr>
                  <m:sty m:val="bi"/>
                </m:rPr>
                <w:rPr>
                  <w:rFonts w:ascii="Cambria Math" w:hAnsi="Cambria Math" w:cs="Times New Roman"/>
                  <w:sz w:val="24"/>
                  <w:szCs w:val="24"/>
                  <w:vertAlign w:val="subscript"/>
                  <w:lang w:val="en-US" w:eastAsia="el-GR"/>
                </w:rPr>
                <m:t>1</m:t>
              </m:r>
            </m:sub>
            <m:sup>
              <m:r>
                <m:rPr>
                  <m:sty m:val="bi"/>
                </m:rPr>
                <w:rPr>
                  <w:rFonts w:ascii="Cambria Math" w:hAnsi="Cambria Math" w:cs="Times New Roman"/>
                  <w:sz w:val="24"/>
                  <w:szCs w:val="24"/>
                  <w:vertAlign w:val="subscript"/>
                  <w:lang w:val="en-US" w:eastAsia="el-GR"/>
                </w:rPr>
                <m:t>n</m:t>
              </m:r>
            </m:sup>
            <m:e>
              <m:d>
                <m:dPr>
                  <m:ctrlPr>
                    <w:rPr>
                      <w:rFonts w:ascii="Cambria Math" w:hAnsi="Cambria Math" w:cs="Times New Roman"/>
                      <w:b/>
                      <w:bCs/>
                      <w:i/>
                      <w:sz w:val="24"/>
                      <w:szCs w:val="24"/>
                      <w:vertAlign w:val="subscript"/>
                      <w:lang w:val="en-US" w:eastAsia="el-GR"/>
                    </w:rPr>
                  </m:ctrlPr>
                </m:dPr>
                <m:e>
                  <m:sSub>
                    <m:sSubPr>
                      <m:ctrlPr>
                        <w:rPr>
                          <w:rFonts w:ascii="Cambria Math" w:hAnsi="Cambria Math" w:cs="Times New Roman"/>
                          <w:b/>
                          <w:bCs/>
                          <w:i/>
                          <w:sz w:val="24"/>
                          <w:szCs w:val="24"/>
                          <w:vertAlign w:val="subscript"/>
                          <w:lang w:val="en-US" w:eastAsia="el-GR"/>
                        </w:rPr>
                      </m:ctrlPr>
                    </m:sSubPr>
                    <m:e>
                      <m:r>
                        <m:rPr>
                          <m:sty m:val="bi"/>
                        </m:rPr>
                        <w:rPr>
                          <w:rFonts w:ascii="Cambria Math" w:hAnsi="Cambria Math" w:cs="Times New Roman"/>
                          <w:sz w:val="24"/>
                          <w:szCs w:val="24"/>
                          <w:vertAlign w:val="subscript"/>
                          <w:lang w:val="en-US" w:eastAsia="el-GR"/>
                        </w:rPr>
                        <m:t>G</m:t>
                      </m:r>
                    </m:e>
                    <m:sub>
                      <m:r>
                        <m:rPr>
                          <m:sty m:val="bi"/>
                        </m:rPr>
                        <w:rPr>
                          <w:rFonts w:ascii="Cambria Math" w:hAnsi="Cambria Math" w:cs="Times New Roman"/>
                          <w:sz w:val="24"/>
                          <w:szCs w:val="24"/>
                          <w:vertAlign w:val="subscript"/>
                          <w:lang w:val="en-US" w:eastAsia="el-GR"/>
                        </w:rPr>
                        <m:t>i</m:t>
                      </m:r>
                    </m:sub>
                  </m:sSub>
                  <m:r>
                    <m:rPr>
                      <m:sty m:val="bi"/>
                    </m:rPr>
                    <w:rPr>
                      <w:rFonts w:ascii="Cambria Math" w:hAnsi="Cambria Math" w:cs="Times New Roman"/>
                      <w:sz w:val="24"/>
                      <w:szCs w:val="24"/>
                      <w:vertAlign w:val="subscript"/>
                      <w:lang w:eastAsia="el-GR"/>
                    </w:rPr>
                    <m:t>⋅</m:t>
                  </m:r>
                  <m:sSub>
                    <m:sSubPr>
                      <m:ctrlPr>
                        <w:rPr>
                          <w:rFonts w:ascii="Cambria Math" w:hAnsi="Cambria Math" w:cs="Times New Roman"/>
                          <w:b/>
                          <w:bCs/>
                          <w:i/>
                          <w:sz w:val="24"/>
                          <w:szCs w:val="24"/>
                          <w:vertAlign w:val="subscript"/>
                          <w:lang w:val="en-US" w:eastAsia="el-GR"/>
                        </w:rPr>
                      </m:ctrlPr>
                    </m:sSubPr>
                    <m:e>
                      <m:r>
                        <m:rPr>
                          <m:sty m:val="bi"/>
                        </m:rPr>
                        <w:rPr>
                          <w:rFonts w:ascii="Cambria Math" w:hAnsi="Cambria Math" w:cs="Times New Roman"/>
                          <w:sz w:val="24"/>
                          <w:szCs w:val="24"/>
                          <w:vertAlign w:val="subscript"/>
                          <w:lang w:val="en-US" w:eastAsia="el-GR"/>
                        </w:rPr>
                        <m:t>C</m:t>
                      </m:r>
                    </m:e>
                    <m:sub>
                      <m:r>
                        <m:rPr>
                          <m:sty m:val="bi"/>
                        </m:rPr>
                        <w:rPr>
                          <w:rFonts w:ascii="Cambria Math" w:hAnsi="Cambria Math" w:cs="Times New Roman"/>
                          <w:sz w:val="24"/>
                          <w:szCs w:val="24"/>
                          <w:vertAlign w:val="subscript"/>
                          <w:lang w:val="en-US" w:eastAsia="el-GR"/>
                        </w:rPr>
                        <m:t>i</m:t>
                      </m:r>
                    </m:sub>
                  </m:sSub>
                </m:e>
              </m:d>
            </m:e>
          </m:nary>
        </m:oMath>
      </m:oMathPara>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Όπου:</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lang w:val="en-US"/>
        </w:rPr>
        <w:t>G</w:t>
      </w:r>
      <w:r w:rsidRPr="0004168B">
        <w:rPr>
          <w:rFonts w:ascii="Times New Roman" w:hAnsi="Times New Roman" w:cs="Times New Roman"/>
          <w:sz w:val="24"/>
          <w:szCs w:val="24"/>
        </w:rPr>
        <w:t>i: Συντελεστής βαρύτητας για κάθε κριτήριο (βλ. παρακάτω πίνακα).</w:t>
      </w:r>
    </w:p>
    <w:p w:rsidR="0004168B" w:rsidRPr="0004168B" w:rsidRDefault="0004168B" w:rsidP="0004168B">
      <w:pPr>
        <w:spacing w:line="360" w:lineRule="auto"/>
        <w:jc w:val="both"/>
        <w:rPr>
          <w:rFonts w:ascii="Times New Roman" w:hAnsi="Times New Roman" w:cs="Times New Roman"/>
          <w:sz w:val="24"/>
          <w:szCs w:val="24"/>
        </w:rPr>
      </w:pPr>
      <w:r w:rsidRPr="0004168B">
        <w:rPr>
          <w:rFonts w:ascii="Times New Roman" w:hAnsi="Times New Roman" w:cs="Times New Roman"/>
          <w:sz w:val="24"/>
          <w:szCs w:val="24"/>
        </w:rPr>
        <w:t>Ci: Τιμή κριτηρίου (π.χ. τοπογραφία, πρόσβαση, κτλ.).</w:t>
      </w:r>
    </w:p>
    <w:p w:rsidR="0004168B" w:rsidRPr="0004168B" w:rsidRDefault="0004168B" w:rsidP="0004168B">
      <w:pPr>
        <w:spacing w:before="100" w:beforeAutospacing="1" w:after="100" w:afterAutospacing="1" w:line="360" w:lineRule="auto"/>
        <w:jc w:val="both"/>
        <w:rPr>
          <w:rFonts w:ascii="Times New Roman" w:eastAsia="Times New Roman" w:hAnsi="Times New Roman" w:cs="Times New Roman"/>
          <w:kern w:val="0"/>
          <w:sz w:val="24"/>
          <w:szCs w:val="24"/>
          <w:lang w:eastAsia="el-GR"/>
        </w:rPr>
      </w:pPr>
      <w:r w:rsidRPr="0004168B">
        <w:rPr>
          <w:rFonts w:ascii="Times New Roman" w:eastAsia="Times New Roman" w:hAnsi="Times New Roman" w:cs="Times New Roman"/>
          <w:kern w:val="0"/>
          <w:sz w:val="24"/>
          <w:szCs w:val="24"/>
          <w:lang w:eastAsia="el-GR"/>
        </w:rPr>
        <w:t>Ο συντελεστής βαρύτητας για κάθε κριτήριο καθώς και οι τιμές κάθε κριτηρίου ανάλογα με την κατηγοριοποίηση τους, εξειδικεύονται κάτωθι:</w:t>
      </w:r>
    </w:p>
    <w:tbl>
      <w:tblPr>
        <w:tblStyle w:val="aa"/>
        <w:tblpPr w:leftFromText="180" w:rightFromText="180" w:vertAnchor="text" w:horzAnchor="margin" w:tblpY="558"/>
        <w:tblW w:w="0" w:type="auto"/>
        <w:tblLook w:val="04A0"/>
      </w:tblPr>
      <w:tblGrid>
        <w:gridCol w:w="3315"/>
        <w:gridCol w:w="3315"/>
      </w:tblGrid>
      <w:tr w:rsidR="0004168B" w:rsidRPr="0004168B" w:rsidTr="009435FA">
        <w:trPr>
          <w:trHeight w:val="253"/>
        </w:trPr>
        <w:tc>
          <w:tcPr>
            <w:tcW w:w="3315" w:type="dxa"/>
          </w:tcPr>
          <w:p w:rsidR="0004168B" w:rsidRPr="0004168B" w:rsidRDefault="0004168B" w:rsidP="0004168B">
            <w:pPr>
              <w:spacing w:line="360" w:lineRule="auto"/>
              <w:jc w:val="both"/>
              <w:rPr>
                <w:rFonts w:ascii="Times New Roman" w:hAnsi="Times New Roman" w:cs="Times New Roman"/>
                <w:b/>
                <w:bCs/>
                <w:sz w:val="20"/>
                <w:szCs w:val="20"/>
              </w:rPr>
            </w:pPr>
            <w:r w:rsidRPr="0004168B">
              <w:rPr>
                <w:rFonts w:ascii="Times New Roman" w:hAnsi="Times New Roman" w:cs="Times New Roman"/>
                <w:b/>
                <w:bCs/>
                <w:sz w:val="20"/>
                <w:szCs w:val="20"/>
              </w:rPr>
              <w:t>Κριτήριο</w:t>
            </w:r>
          </w:p>
        </w:tc>
        <w:tc>
          <w:tcPr>
            <w:tcW w:w="3315" w:type="dxa"/>
          </w:tcPr>
          <w:p w:rsidR="0004168B" w:rsidRPr="0004168B" w:rsidRDefault="0004168B" w:rsidP="0004168B">
            <w:pPr>
              <w:spacing w:line="360" w:lineRule="auto"/>
              <w:jc w:val="center"/>
              <w:rPr>
                <w:rFonts w:ascii="Times New Roman" w:hAnsi="Times New Roman" w:cs="Times New Roman"/>
                <w:b/>
                <w:bCs/>
                <w:sz w:val="20"/>
                <w:szCs w:val="20"/>
              </w:rPr>
            </w:pPr>
            <w:r w:rsidRPr="0004168B">
              <w:rPr>
                <w:rFonts w:ascii="Times New Roman" w:hAnsi="Times New Roman" w:cs="Times New Roman"/>
                <w:b/>
                <w:bCs/>
                <w:sz w:val="20"/>
                <w:szCs w:val="20"/>
              </w:rPr>
              <w:t>Βάρος (G</w:t>
            </w:r>
            <w:proofErr w:type="spellStart"/>
            <w:r w:rsidRPr="0004168B">
              <w:rPr>
                <w:rFonts w:ascii="Times New Roman" w:hAnsi="Times New Roman" w:cs="Times New Roman"/>
                <w:b/>
                <w:bCs/>
                <w:sz w:val="20"/>
                <w:szCs w:val="20"/>
                <w:lang w:val="en-US"/>
              </w:rPr>
              <w:t>i</w:t>
            </w:r>
            <w:proofErr w:type="spellEnd"/>
            <w:r w:rsidRPr="0004168B">
              <w:rPr>
                <w:rFonts w:ascii="Times New Roman" w:hAnsi="Times New Roman" w:cs="Times New Roman"/>
                <w:b/>
                <w:bCs/>
                <w:sz w:val="20"/>
                <w:szCs w:val="20"/>
              </w:rPr>
              <w:t>​)</w:t>
            </w:r>
          </w:p>
        </w:tc>
      </w:tr>
      <w:tr w:rsidR="0004168B" w:rsidRPr="0004168B" w:rsidTr="009435FA">
        <w:trPr>
          <w:trHeight w:val="239"/>
        </w:trPr>
        <w:tc>
          <w:tcPr>
            <w:tcW w:w="3315"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Τοπογραφία</w:t>
            </w:r>
          </w:p>
        </w:tc>
        <w:tc>
          <w:tcPr>
            <w:tcW w:w="3315"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0.24</w:t>
            </w:r>
          </w:p>
        </w:tc>
      </w:tr>
      <w:tr w:rsidR="0004168B" w:rsidRPr="0004168B" w:rsidTr="009435FA">
        <w:trPr>
          <w:trHeight w:val="253"/>
        </w:trPr>
        <w:tc>
          <w:tcPr>
            <w:tcW w:w="3315"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Πρόσβαση</w:t>
            </w:r>
          </w:p>
        </w:tc>
        <w:tc>
          <w:tcPr>
            <w:tcW w:w="3315"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0.17</w:t>
            </w:r>
          </w:p>
        </w:tc>
      </w:tr>
      <w:tr w:rsidR="0004168B" w:rsidRPr="0004168B" w:rsidTr="009435FA">
        <w:trPr>
          <w:trHeight w:val="492"/>
        </w:trPr>
        <w:tc>
          <w:tcPr>
            <w:tcW w:w="3315"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Περιβαλλοντικοί</w:t>
            </w:r>
          </w:p>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Περιορισμοί</w:t>
            </w:r>
          </w:p>
        </w:tc>
        <w:tc>
          <w:tcPr>
            <w:tcW w:w="3315"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0.17</w:t>
            </w:r>
          </w:p>
        </w:tc>
      </w:tr>
      <w:tr w:rsidR="0004168B" w:rsidRPr="0004168B" w:rsidTr="009435FA">
        <w:trPr>
          <w:trHeight w:val="253"/>
        </w:trPr>
        <w:tc>
          <w:tcPr>
            <w:tcW w:w="3315"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lastRenderedPageBreak/>
              <w:t>Κλιματικές Συνθήκες</w:t>
            </w:r>
          </w:p>
        </w:tc>
        <w:tc>
          <w:tcPr>
            <w:tcW w:w="3315"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0.17</w:t>
            </w:r>
          </w:p>
        </w:tc>
      </w:tr>
      <w:tr w:rsidR="0004168B" w:rsidRPr="0004168B" w:rsidTr="009435FA">
        <w:trPr>
          <w:trHeight w:val="239"/>
        </w:trPr>
        <w:tc>
          <w:tcPr>
            <w:tcW w:w="3315"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Δασική Σύνθεση</w:t>
            </w:r>
          </w:p>
        </w:tc>
        <w:tc>
          <w:tcPr>
            <w:tcW w:w="3315"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0.08</w:t>
            </w:r>
          </w:p>
        </w:tc>
      </w:tr>
      <w:tr w:rsidR="0004168B" w:rsidRPr="0004168B" w:rsidTr="009435FA">
        <w:trPr>
          <w:trHeight w:val="239"/>
        </w:trPr>
        <w:tc>
          <w:tcPr>
            <w:tcW w:w="3315" w:type="dxa"/>
          </w:tcPr>
          <w:p w:rsidR="0004168B" w:rsidRPr="0004168B" w:rsidRDefault="0004168B" w:rsidP="0004168B">
            <w:pPr>
              <w:spacing w:line="360" w:lineRule="auto"/>
              <w:jc w:val="both"/>
              <w:rPr>
                <w:rFonts w:ascii="Times New Roman" w:hAnsi="Times New Roman" w:cs="Times New Roman"/>
                <w:sz w:val="20"/>
                <w:szCs w:val="20"/>
              </w:rPr>
            </w:pPr>
            <w:r w:rsidRPr="0004168B">
              <w:rPr>
                <w:rFonts w:ascii="Times New Roman" w:hAnsi="Times New Roman" w:cs="Times New Roman"/>
                <w:sz w:val="20"/>
                <w:szCs w:val="20"/>
              </w:rPr>
              <w:t>Έκταση</w:t>
            </w:r>
          </w:p>
        </w:tc>
        <w:tc>
          <w:tcPr>
            <w:tcW w:w="3315" w:type="dxa"/>
          </w:tcPr>
          <w:p w:rsidR="0004168B" w:rsidRPr="0004168B" w:rsidRDefault="0004168B" w:rsidP="0004168B">
            <w:pPr>
              <w:spacing w:line="360" w:lineRule="auto"/>
              <w:jc w:val="center"/>
              <w:rPr>
                <w:rFonts w:ascii="Times New Roman" w:hAnsi="Times New Roman" w:cs="Times New Roman"/>
                <w:sz w:val="20"/>
                <w:szCs w:val="20"/>
              </w:rPr>
            </w:pPr>
            <w:r w:rsidRPr="0004168B">
              <w:rPr>
                <w:rFonts w:ascii="Times New Roman" w:hAnsi="Times New Roman" w:cs="Times New Roman"/>
                <w:sz w:val="20"/>
                <w:szCs w:val="20"/>
              </w:rPr>
              <w:t>0.17</w:t>
            </w:r>
          </w:p>
        </w:tc>
      </w:tr>
    </w:tbl>
    <w:p w:rsidR="000B1748" w:rsidRDefault="000B1748" w:rsidP="3ACE74B1">
      <w:pPr>
        <w:spacing w:line="360" w:lineRule="auto"/>
        <w:rPr>
          <w:rFonts w:ascii="Times New Roman" w:hAnsi="Times New Roman" w:cs="Times New Roman"/>
          <w:sz w:val="24"/>
          <w:szCs w:val="24"/>
        </w:rPr>
      </w:pPr>
    </w:p>
    <w:sectPr w:rsidR="000B1748" w:rsidSect="00343411">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324" w:rsidRDefault="004D1324" w:rsidP="00343411">
      <w:pPr>
        <w:spacing w:after="0" w:line="240" w:lineRule="auto"/>
      </w:pPr>
      <w:r>
        <w:separator/>
      </w:r>
    </w:p>
  </w:endnote>
  <w:endnote w:type="continuationSeparator" w:id="0">
    <w:p w:rsidR="004D1324" w:rsidRDefault="004D1324" w:rsidP="00343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5252"/>
      <w:docPartObj>
        <w:docPartGallery w:val="Page Numbers (Bottom of Page)"/>
        <w:docPartUnique/>
      </w:docPartObj>
    </w:sdtPr>
    <w:sdtContent>
      <w:p w:rsidR="008F799B" w:rsidRDefault="008F799B">
        <w:pPr>
          <w:pStyle w:val="ac"/>
          <w:jc w:val="center"/>
        </w:pPr>
        <w:r>
          <w:t>[</w:t>
        </w:r>
        <w:fldSimple w:instr=" PAGE   \* MERGEFORMAT ">
          <w:r w:rsidR="00D03AF9">
            <w:rPr>
              <w:noProof/>
            </w:rPr>
            <w:t>9</w:t>
          </w:r>
        </w:fldSimple>
        <w:r>
          <w:t>]</w:t>
        </w:r>
      </w:p>
    </w:sdtContent>
  </w:sdt>
  <w:p w:rsidR="3ACE74B1" w:rsidRDefault="3ACE74B1" w:rsidP="3ACE74B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324" w:rsidRDefault="004D1324" w:rsidP="00343411">
      <w:pPr>
        <w:spacing w:after="0" w:line="240" w:lineRule="auto"/>
      </w:pPr>
      <w:r>
        <w:separator/>
      </w:r>
    </w:p>
  </w:footnote>
  <w:footnote w:type="continuationSeparator" w:id="0">
    <w:p w:rsidR="004D1324" w:rsidRDefault="004D1324" w:rsidP="00343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2765"/>
      <w:gridCol w:w="2765"/>
      <w:gridCol w:w="2765"/>
    </w:tblGrid>
    <w:tr w:rsidR="3ACE74B1" w:rsidTr="3ACE74B1">
      <w:trPr>
        <w:trHeight w:val="300"/>
      </w:trPr>
      <w:tc>
        <w:tcPr>
          <w:tcW w:w="2765" w:type="dxa"/>
        </w:tcPr>
        <w:p w:rsidR="3ACE74B1" w:rsidRDefault="3ACE74B1" w:rsidP="3ACE74B1">
          <w:pPr>
            <w:pStyle w:val="ab"/>
            <w:ind w:left="-115"/>
          </w:pPr>
        </w:p>
      </w:tc>
      <w:tc>
        <w:tcPr>
          <w:tcW w:w="2765" w:type="dxa"/>
        </w:tcPr>
        <w:p w:rsidR="3ACE74B1" w:rsidRDefault="3ACE74B1" w:rsidP="3ACE74B1">
          <w:pPr>
            <w:pStyle w:val="ab"/>
            <w:jc w:val="center"/>
          </w:pPr>
        </w:p>
      </w:tc>
      <w:tc>
        <w:tcPr>
          <w:tcW w:w="2765" w:type="dxa"/>
        </w:tcPr>
        <w:p w:rsidR="3ACE74B1" w:rsidRDefault="3ACE74B1" w:rsidP="3ACE74B1">
          <w:pPr>
            <w:pStyle w:val="ab"/>
            <w:ind w:right="-115"/>
            <w:jc w:val="right"/>
          </w:pPr>
        </w:p>
      </w:tc>
    </w:tr>
  </w:tbl>
  <w:p w:rsidR="3ACE74B1" w:rsidRDefault="3ACE74B1" w:rsidP="3ACE74B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15FD1"/>
    <w:multiLevelType w:val="multilevel"/>
    <w:tmpl w:val="609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168B"/>
    <w:rsid w:val="0004168B"/>
    <w:rsid w:val="000754A0"/>
    <w:rsid w:val="000B1748"/>
    <w:rsid w:val="00192BD5"/>
    <w:rsid w:val="00273D07"/>
    <w:rsid w:val="00343411"/>
    <w:rsid w:val="004D1324"/>
    <w:rsid w:val="008F799B"/>
    <w:rsid w:val="00A36159"/>
    <w:rsid w:val="00A4478B"/>
    <w:rsid w:val="00AF0F33"/>
    <w:rsid w:val="00C30BAB"/>
    <w:rsid w:val="00D03AF9"/>
    <w:rsid w:val="00D55AE5"/>
    <w:rsid w:val="03788A38"/>
    <w:rsid w:val="03E6CB81"/>
    <w:rsid w:val="096C0F1B"/>
    <w:rsid w:val="0C58F88E"/>
    <w:rsid w:val="16F77102"/>
    <w:rsid w:val="1AE468E3"/>
    <w:rsid w:val="1EA06D65"/>
    <w:rsid w:val="24F9BC3F"/>
    <w:rsid w:val="26E54DE4"/>
    <w:rsid w:val="32C75DB3"/>
    <w:rsid w:val="3ACE74B1"/>
    <w:rsid w:val="4DDA5C0E"/>
    <w:rsid w:val="5355C64A"/>
    <w:rsid w:val="6BC38012"/>
    <w:rsid w:val="7AC660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11"/>
  </w:style>
  <w:style w:type="paragraph" w:styleId="1">
    <w:name w:val="heading 1"/>
    <w:basedOn w:val="a"/>
    <w:next w:val="a"/>
    <w:link w:val="1Char"/>
    <w:uiPriority w:val="9"/>
    <w:qFormat/>
    <w:rsid w:val="00041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41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416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416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416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416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416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416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416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168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4168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4168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4168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4168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416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416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416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4168B"/>
    <w:rPr>
      <w:rFonts w:eastAsiaTheme="majorEastAsia" w:cstheme="majorBidi"/>
      <w:color w:val="272727" w:themeColor="text1" w:themeTint="D8"/>
    </w:rPr>
  </w:style>
  <w:style w:type="paragraph" w:styleId="a3">
    <w:name w:val="Title"/>
    <w:basedOn w:val="a"/>
    <w:next w:val="a"/>
    <w:link w:val="Char"/>
    <w:uiPriority w:val="10"/>
    <w:qFormat/>
    <w:rsid w:val="00041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416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4168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416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4168B"/>
    <w:pPr>
      <w:spacing w:before="160"/>
      <w:jc w:val="center"/>
    </w:pPr>
    <w:rPr>
      <w:i/>
      <w:iCs/>
      <w:color w:val="404040" w:themeColor="text1" w:themeTint="BF"/>
    </w:rPr>
  </w:style>
  <w:style w:type="character" w:customStyle="1" w:styleId="Char1">
    <w:name w:val="Απόσπασμα Char"/>
    <w:basedOn w:val="a0"/>
    <w:link w:val="a5"/>
    <w:uiPriority w:val="29"/>
    <w:rsid w:val="0004168B"/>
    <w:rPr>
      <w:i/>
      <w:iCs/>
      <w:color w:val="404040" w:themeColor="text1" w:themeTint="BF"/>
    </w:rPr>
  </w:style>
  <w:style w:type="paragraph" w:styleId="a6">
    <w:name w:val="List Paragraph"/>
    <w:basedOn w:val="a"/>
    <w:uiPriority w:val="34"/>
    <w:qFormat/>
    <w:rsid w:val="0004168B"/>
    <w:pPr>
      <w:ind w:left="720"/>
      <w:contextualSpacing/>
    </w:pPr>
  </w:style>
  <w:style w:type="character" w:styleId="a7">
    <w:name w:val="Intense Emphasis"/>
    <w:basedOn w:val="a0"/>
    <w:uiPriority w:val="21"/>
    <w:qFormat/>
    <w:rsid w:val="0004168B"/>
    <w:rPr>
      <w:i/>
      <w:iCs/>
      <w:color w:val="0F4761" w:themeColor="accent1" w:themeShade="BF"/>
    </w:rPr>
  </w:style>
  <w:style w:type="paragraph" w:styleId="a8">
    <w:name w:val="Intense Quote"/>
    <w:basedOn w:val="a"/>
    <w:next w:val="a"/>
    <w:link w:val="Char2"/>
    <w:uiPriority w:val="30"/>
    <w:qFormat/>
    <w:rsid w:val="00041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04168B"/>
    <w:rPr>
      <w:i/>
      <w:iCs/>
      <w:color w:val="0F4761" w:themeColor="accent1" w:themeShade="BF"/>
    </w:rPr>
  </w:style>
  <w:style w:type="character" w:styleId="a9">
    <w:name w:val="Intense Reference"/>
    <w:basedOn w:val="a0"/>
    <w:uiPriority w:val="32"/>
    <w:qFormat/>
    <w:rsid w:val="0004168B"/>
    <w:rPr>
      <w:b/>
      <w:bCs/>
      <w:smallCaps/>
      <w:color w:val="0F4761" w:themeColor="accent1" w:themeShade="BF"/>
      <w:spacing w:val="5"/>
    </w:rPr>
  </w:style>
  <w:style w:type="table" w:styleId="aa">
    <w:name w:val="Table Grid"/>
    <w:basedOn w:val="a1"/>
    <w:uiPriority w:val="39"/>
    <w:rsid w:val="00041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uiPriority w:val="99"/>
    <w:unhideWhenUsed/>
    <w:rsid w:val="3ACE74B1"/>
    <w:pPr>
      <w:tabs>
        <w:tab w:val="center" w:pos="4680"/>
        <w:tab w:val="right" w:pos="9360"/>
      </w:tabs>
      <w:spacing w:after="0" w:line="240" w:lineRule="auto"/>
    </w:pPr>
  </w:style>
  <w:style w:type="paragraph" w:styleId="ac">
    <w:name w:val="footer"/>
    <w:basedOn w:val="a"/>
    <w:link w:val="Char3"/>
    <w:uiPriority w:val="99"/>
    <w:unhideWhenUsed/>
    <w:rsid w:val="3ACE74B1"/>
    <w:pPr>
      <w:tabs>
        <w:tab w:val="center" w:pos="4680"/>
        <w:tab w:val="right" w:pos="9360"/>
      </w:tabs>
      <w:spacing w:after="0" w:line="240" w:lineRule="auto"/>
    </w:pPr>
  </w:style>
  <w:style w:type="character" w:customStyle="1" w:styleId="Char3">
    <w:name w:val="Υποσέλιδο Char"/>
    <w:basedOn w:val="a0"/>
    <w:link w:val="ac"/>
    <w:uiPriority w:val="99"/>
    <w:rsid w:val="008F799B"/>
  </w:style>
  <w:style w:type="paragraph" w:styleId="ad">
    <w:name w:val="Balloon Text"/>
    <w:basedOn w:val="a"/>
    <w:link w:val="Char4"/>
    <w:uiPriority w:val="99"/>
    <w:semiHidden/>
    <w:unhideWhenUsed/>
    <w:rsid w:val="008F799B"/>
    <w:pPr>
      <w:spacing w:after="0" w:line="240" w:lineRule="auto"/>
    </w:pPr>
    <w:rPr>
      <w:rFonts w:ascii="Tahoma" w:hAnsi="Tahoma" w:cs="Tahoma"/>
      <w:sz w:val="16"/>
      <w:szCs w:val="16"/>
    </w:rPr>
  </w:style>
  <w:style w:type="character" w:customStyle="1" w:styleId="Char4">
    <w:name w:val="Κείμενο πλαισίου Char"/>
    <w:basedOn w:val="a0"/>
    <w:link w:val="ad"/>
    <w:uiPriority w:val="99"/>
    <w:semiHidden/>
    <w:rsid w:val="008F7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1755</Words>
  <Characters>9483</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Καραμέτος</dc:creator>
  <cp:keywords/>
  <dc:description/>
  <cp:lastModifiedBy>Windows 10</cp:lastModifiedBy>
  <cp:revision>4</cp:revision>
  <dcterms:created xsi:type="dcterms:W3CDTF">2025-03-10T08:49:00Z</dcterms:created>
  <dcterms:modified xsi:type="dcterms:W3CDTF">2025-03-10T14:13:00Z</dcterms:modified>
</cp:coreProperties>
</file>